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8E65" w14:textId="4D80953C" w:rsidR="00AF4957" w:rsidRDefault="00B843EA" w:rsidP="00B36F5F">
      <w:pPr>
        <w:autoSpaceDE w:val="0"/>
        <w:autoSpaceDN w:val="0"/>
        <w:adjustRightInd w:val="0"/>
        <w:ind w:firstLine="720"/>
        <w:jc w:val="center"/>
        <w:rPr>
          <w:b/>
          <w:bCs/>
        </w:rPr>
      </w:pPr>
      <w:r>
        <w:rPr>
          <w:b/>
          <w:bCs/>
        </w:rPr>
        <w:t>Notice of the Sources of Fund Distributions</w:t>
      </w:r>
    </w:p>
    <w:p w14:paraId="76F027AC" w14:textId="021352AA" w:rsidR="00731FFA" w:rsidRDefault="00C03A54" w:rsidP="00B36F5F">
      <w:pPr>
        <w:autoSpaceDE w:val="0"/>
        <w:autoSpaceDN w:val="0"/>
        <w:adjustRightInd w:val="0"/>
        <w:ind w:firstLine="720"/>
        <w:jc w:val="center"/>
        <w:rPr>
          <w:b/>
          <w:bCs/>
        </w:rPr>
      </w:pPr>
      <w:r>
        <w:rPr>
          <w:b/>
          <w:bCs/>
        </w:rPr>
        <w:t>NestYield</w:t>
      </w:r>
      <w:r w:rsidR="006A7966" w:rsidRPr="006A7966">
        <w:rPr>
          <w:b/>
          <w:bCs/>
        </w:rPr>
        <w:t xml:space="preserve"> </w:t>
      </w:r>
      <w:r w:rsidR="00097050">
        <w:rPr>
          <w:b/>
          <w:bCs/>
        </w:rPr>
        <w:t>ETFs</w:t>
      </w:r>
    </w:p>
    <w:p w14:paraId="7EF0A735" w14:textId="77777777" w:rsidR="00AF4957" w:rsidRDefault="00AF4957">
      <w:pPr>
        <w:autoSpaceDE w:val="0"/>
        <w:autoSpaceDN w:val="0"/>
        <w:adjustRightInd w:val="0"/>
        <w:rPr>
          <w:b/>
          <w:bCs/>
        </w:rPr>
      </w:pPr>
    </w:p>
    <w:p w14:paraId="7C482BA0" w14:textId="17B13C29" w:rsidR="00AF4957" w:rsidRDefault="00FC0612" w:rsidP="00521571">
      <w:pPr>
        <w:autoSpaceDE w:val="0"/>
        <w:autoSpaceDN w:val="0"/>
        <w:adjustRightInd w:val="0"/>
        <w:jc w:val="both"/>
        <w:rPr>
          <w:sz w:val="22"/>
          <w:szCs w:val="22"/>
        </w:rPr>
      </w:pPr>
      <w:r>
        <w:rPr>
          <w:sz w:val="22"/>
          <w:szCs w:val="22"/>
        </w:rPr>
        <w:t xml:space="preserve">Section 19(a) of the </w:t>
      </w:r>
      <w:r w:rsidR="00561FC6">
        <w:rPr>
          <w:sz w:val="22"/>
          <w:szCs w:val="22"/>
        </w:rPr>
        <w:t xml:space="preserve">Investment Company Act of </w:t>
      </w:r>
      <w:r>
        <w:rPr>
          <w:sz w:val="22"/>
          <w:szCs w:val="22"/>
        </w:rPr>
        <w:t>1940 requires</w:t>
      </w:r>
      <w:r w:rsidR="00561FC6">
        <w:rPr>
          <w:sz w:val="22"/>
          <w:szCs w:val="22"/>
        </w:rPr>
        <w:t xml:space="preserve"> Fund</w:t>
      </w:r>
      <w:r w:rsidR="00C23A73">
        <w:rPr>
          <w:sz w:val="22"/>
          <w:szCs w:val="22"/>
        </w:rPr>
        <w:t xml:space="preserve">s to provide written notice </w:t>
      </w:r>
      <w:r w:rsidR="00E76A4B">
        <w:rPr>
          <w:sz w:val="22"/>
          <w:szCs w:val="22"/>
        </w:rPr>
        <w:t>disclosing</w:t>
      </w:r>
      <w:r w:rsidR="00C23A73">
        <w:rPr>
          <w:sz w:val="22"/>
          <w:szCs w:val="22"/>
        </w:rPr>
        <w:t xml:space="preserve"> the sources</w:t>
      </w:r>
      <w:r w:rsidR="00F24170">
        <w:rPr>
          <w:sz w:val="22"/>
          <w:szCs w:val="22"/>
        </w:rPr>
        <w:t xml:space="preserve"> of a distribution payment if it </w:t>
      </w:r>
      <w:r w:rsidR="009D30A9">
        <w:rPr>
          <w:sz w:val="22"/>
          <w:szCs w:val="22"/>
        </w:rPr>
        <w:t xml:space="preserve">was </w:t>
      </w:r>
      <w:r w:rsidR="00F24170">
        <w:rPr>
          <w:sz w:val="22"/>
          <w:szCs w:val="22"/>
        </w:rPr>
        <w:t xml:space="preserve">made from any source other than the </w:t>
      </w:r>
      <w:r w:rsidR="009D30A9">
        <w:rPr>
          <w:sz w:val="22"/>
          <w:szCs w:val="22"/>
        </w:rPr>
        <w:t>f</w:t>
      </w:r>
      <w:r w:rsidR="00F24170">
        <w:rPr>
          <w:sz w:val="22"/>
          <w:szCs w:val="22"/>
        </w:rPr>
        <w:t xml:space="preserve">und’s </w:t>
      </w:r>
      <w:r w:rsidR="00E76A4B">
        <w:rPr>
          <w:sz w:val="22"/>
          <w:szCs w:val="22"/>
        </w:rPr>
        <w:t>net income.</w:t>
      </w:r>
      <w:r>
        <w:rPr>
          <w:sz w:val="22"/>
          <w:szCs w:val="22"/>
        </w:rPr>
        <w:t xml:space="preserve"> </w:t>
      </w:r>
      <w:r w:rsidR="003C7EF6">
        <w:rPr>
          <w:sz w:val="22"/>
          <w:szCs w:val="22"/>
        </w:rPr>
        <w:t xml:space="preserve">This notice is </w:t>
      </w:r>
      <w:r w:rsidR="00CD023F">
        <w:rPr>
          <w:sz w:val="22"/>
          <w:szCs w:val="22"/>
        </w:rPr>
        <w:t>intended to fulfill</w:t>
      </w:r>
      <w:r w:rsidR="003C7EF6">
        <w:rPr>
          <w:sz w:val="22"/>
          <w:szCs w:val="22"/>
        </w:rPr>
        <w:t xml:space="preserve"> </w:t>
      </w:r>
      <w:r w:rsidR="007225E3">
        <w:rPr>
          <w:sz w:val="22"/>
          <w:szCs w:val="22"/>
        </w:rPr>
        <w:t>Rule 19</w:t>
      </w:r>
      <w:r w:rsidR="00570735">
        <w:rPr>
          <w:sz w:val="22"/>
          <w:szCs w:val="22"/>
        </w:rPr>
        <w:t>a</w:t>
      </w:r>
      <w:r w:rsidR="007225E3">
        <w:rPr>
          <w:sz w:val="22"/>
          <w:szCs w:val="22"/>
        </w:rPr>
        <w:t>-1</w:t>
      </w:r>
      <w:r w:rsidR="00B47463">
        <w:rPr>
          <w:sz w:val="22"/>
          <w:szCs w:val="22"/>
        </w:rPr>
        <w:t xml:space="preserve"> of the Investment Company Act of 1940.</w:t>
      </w:r>
      <w:r w:rsidR="007225E3">
        <w:rPr>
          <w:sz w:val="22"/>
          <w:szCs w:val="22"/>
        </w:rPr>
        <w:t xml:space="preserve">  </w:t>
      </w:r>
    </w:p>
    <w:p w14:paraId="182D75C1" w14:textId="77777777" w:rsidR="00D907C4" w:rsidRPr="00AC27AD" w:rsidRDefault="00D907C4" w:rsidP="00521571">
      <w:pPr>
        <w:autoSpaceDE w:val="0"/>
        <w:autoSpaceDN w:val="0"/>
        <w:adjustRightInd w:val="0"/>
        <w:jc w:val="both"/>
        <w:rPr>
          <w:sz w:val="22"/>
          <w:szCs w:val="22"/>
        </w:rPr>
      </w:pPr>
    </w:p>
    <w:p w14:paraId="16F3462D" w14:textId="3C6D350D" w:rsidR="00D907C4" w:rsidRPr="00AC27AD" w:rsidRDefault="00D907C4" w:rsidP="00D907C4">
      <w:pPr>
        <w:autoSpaceDE w:val="0"/>
        <w:autoSpaceDN w:val="0"/>
        <w:adjustRightInd w:val="0"/>
        <w:rPr>
          <w:sz w:val="22"/>
          <w:szCs w:val="22"/>
        </w:rPr>
      </w:pPr>
      <w:r w:rsidRPr="00AC27AD">
        <w:rPr>
          <w:sz w:val="22"/>
          <w:szCs w:val="22"/>
        </w:rPr>
        <w:t>The estimated per share breakdown of the sources of the distribution</w:t>
      </w:r>
      <w:r w:rsidR="000413BA">
        <w:rPr>
          <w:sz w:val="22"/>
          <w:szCs w:val="22"/>
        </w:rPr>
        <w:t>s</w:t>
      </w:r>
      <w:r w:rsidRPr="00AC27AD">
        <w:rPr>
          <w:sz w:val="22"/>
          <w:szCs w:val="22"/>
        </w:rPr>
        <w:t xml:space="preserve"> to shareholders payable </w:t>
      </w:r>
      <w:r w:rsidR="006B4B12">
        <w:rPr>
          <w:b/>
          <w:bCs/>
          <w:sz w:val="22"/>
          <w:szCs w:val="22"/>
          <w:u w:val="single"/>
        </w:rPr>
        <w:t>January 30, 2026</w:t>
      </w:r>
      <w:r w:rsidR="00FD4A56">
        <w:rPr>
          <w:b/>
          <w:bCs/>
          <w:sz w:val="22"/>
          <w:szCs w:val="22"/>
          <w:u w:val="single"/>
        </w:rPr>
        <w:t>,</w:t>
      </w:r>
      <w:r w:rsidRPr="00AC27AD">
        <w:rPr>
          <w:sz w:val="22"/>
          <w:szCs w:val="22"/>
        </w:rPr>
        <w:t xml:space="preserve"> is as follows: </w:t>
      </w:r>
    </w:p>
    <w:p w14:paraId="64A88D4C" w14:textId="77777777" w:rsidR="00AF4957" w:rsidRDefault="00AF4957">
      <w:pPr>
        <w:autoSpaceDE w:val="0"/>
        <w:autoSpaceDN w:val="0"/>
        <w:adjustRightInd w:val="0"/>
        <w:rPr>
          <w:b/>
          <w:bCs/>
          <w:sz w:val="22"/>
          <w:szCs w:val="22"/>
        </w:rPr>
      </w:pPr>
    </w:p>
    <w:tbl>
      <w:tblPr>
        <w:tblStyle w:val="TableGrid"/>
        <w:tblW w:w="8725" w:type="dxa"/>
        <w:tblLook w:val="04A0" w:firstRow="1" w:lastRow="0" w:firstColumn="1" w:lastColumn="0" w:noHBand="0" w:noVBand="1"/>
      </w:tblPr>
      <w:tblGrid>
        <w:gridCol w:w="5128"/>
        <w:gridCol w:w="2757"/>
        <w:gridCol w:w="840"/>
      </w:tblGrid>
      <w:tr w:rsidR="00F56249" w14:paraId="76DD79D4" w14:textId="77777777" w:rsidTr="007A2CD3">
        <w:tc>
          <w:tcPr>
            <w:tcW w:w="5215" w:type="dxa"/>
          </w:tcPr>
          <w:p w14:paraId="32AF1978" w14:textId="77777777" w:rsidR="00F56249" w:rsidRPr="00F205BC" w:rsidRDefault="00F56249" w:rsidP="00B60BD8">
            <w:pPr>
              <w:autoSpaceDE w:val="0"/>
              <w:autoSpaceDN w:val="0"/>
              <w:adjustRightInd w:val="0"/>
              <w:rPr>
                <w:b/>
                <w:bCs/>
                <w:sz w:val="22"/>
                <w:szCs w:val="22"/>
              </w:rPr>
            </w:pPr>
            <w:r w:rsidRPr="00F205BC">
              <w:rPr>
                <w:b/>
                <w:bCs/>
                <w:sz w:val="22"/>
                <w:szCs w:val="22"/>
              </w:rPr>
              <w:t>Fund Name</w:t>
            </w:r>
          </w:p>
        </w:tc>
        <w:tc>
          <w:tcPr>
            <w:tcW w:w="2790" w:type="dxa"/>
          </w:tcPr>
          <w:p w14:paraId="0270D3F5" w14:textId="77777777" w:rsidR="00F56249" w:rsidRPr="00F205BC" w:rsidRDefault="00F56249" w:rsidP="00B60BD8">
            <w:pPr>
              <w:autoSpaceDE w:val="0"/>
              <w:autoSpaceDN w:val="0"/>
              <w:adjustRightInd w:val="0"/>
              <w:jc w:val="center"/>
              <w:rPr>
                <w:b/>
                <w:bCs/>
                <w:sz w:val="22"/>
                <w:szCs w:val="22"/>
              </w:rPr>
            </w:pPr>
            <w:r w:rsidRPr="00F205BC">
              <w:rPr>
                <w:b/>
                <w:bCs/>
                <w:sz w:val="22"/>
                <w:szCs w:val="22"/>
              </w:rPr>
              <w:t>CUSIP</w:t>
            </w:r>
          </w:p>
        </w:tc>
        <w:tc>
          <w:tcPr>
            <w:tcW w:w="720" w:type="dxa"/>
          </w:tcPr>
          <w:p w14:paraId="3D801CCB" w14:textId="77777777" w:rsidR="00F56249" w:rsidRPr="00F205BC" w:rsidRDefault="00F56249" w:rsidP="00B60BD8">
            <w:pPr>
              <w:autoSpaceDE w:val="0"/>
              <w:autoSpaceDN w:val="0"/>
              <w:adjustRightInd w:val="0"/>
              <w:jc w:val="center"/>
              <w:rPr>
                <w:b/>
                <w:bCs/>
                <w:sz w:val="22"/>
                <w:szCs w:val="22"/>
              </w:rPr>
            </w:pPr>
            <w:r>
              <w:rPr>
                <w:b/>
                <w:bCs/>
                <w:sz w:val="22"/>
                <w:szCs w:val="22"/>
              </w:rPr>
              <w:t>Ticker</w:t>
            </w:r>
          </w:p>
        </w:tc>
      </w:tr>
      <w:tr w:rsidR="00F56249" w14:paraId="0D7886E4" w14:textId="77777777" w:rsidTr="007A2CD3">
        <w:tc>
          <w:tcPr>
            <w:tcW w:w="5215" w:type="dxa"/>
          </w:tcPr>
          <w:p w14:paraId="2997A1F1" w14:textId="0EA13502" w:rsidR="00F56249" w:rsidRDefault="00D36799" w:rsidP="00B60BD8">
            <w:pPr>
              <w:autoSpaceDE w:val="0"/>
              <w:autoSpaceDN w:val="0"/>
              <w:adjustRightInd w:val="0"/>
              <w:rPr>
                <w:sz w:val="22"/>
                <w:szCs w:val="22"/>
              </w:rPr>
            </w:pPr>
            <w:r>
              <w:rPr>
                <w:sz w:val="22"/>
                <w:szCs w:val="22"/>
              </w:rPr>
              <w:t>Nest</w:t>
            </w:r>
            <w:r w:rsidR="007C6BBA">
              <w:rPr>
                <w:sz w:val="22"/>
                <w:szCs w:val="22"/>
              </w:rPr>
              <w:t>Yield Dynamic Income ETF</w:t>
            </w:r>
          </w:p>
        </w:tc>
        <w:tc>
          <w:tcPr>
            <w:tcW w:w="2790" w:type="dxa"/>
          </w:tcPr>
          <w:p w14:paraId="392C71FE" w14:textId="08ED1163" w:rsidR="00F56249" w:rsidRDefault="00C03A54" w:rsidP="00B60BD8">
            <w:pPr>
              <w:autoSpaceDE w:val="0"/>
              <w:autoSpaceDN w:val="0"/>
              <w:adjustRightInd w:val="0"/>
              <w:jc w:val="center"/>
              <w:rPr>
                <w:sz w:val="22"/>
                <w:szCs w:val="22"/>
              </w:rPr>
            </w:pPr>
            <w:r>
              <w:rPr>
                <w:bCs/>
                <w:sz w:val="22"/>
                <w:szCs w:val="22"/>
              </w:rPr>
              <w:t>45259A787</w:t>
            </w:r>
          </w:p>
        </w:tc>
        <w:tc>
          <w:tcPr>
            <w:tcW w:w="720" w:type="dxa"/>
          </w:tcPr>
          <w:p w14:paraId="791DF623" w14:textId="3A89A3B8" w:rsidR="00F56249" w:rsidRPr="002F41E5" w:rsidRDefault="00C03A54" w:rsidP="00B60BD8">
            <w:pPr>
              <w:autoSpaceDE w:val="0"/>
              <w:autoSpaceDN w:val="0"/>
              <w:adjustRightInd w:val="0"/>
              <w:jc w:val="center"/>
              <w:rPr>
                <w:bCs/>
                <w:sz w:val="22"/>
                <w:szCs w:val="22"/>
              </w:rPr>
            </w:pPr>
            <w:r>
              <w:rPr>
                <w:bCs/>
                <w:sz w:val="22"/>
                <w:szCs w:val="22"/>
              </w:rPr>
              <w:t>EGGY</w:t>
            </w:r>
          </w:p>
        </w:tc>
      </w:tr>
    </w:tbl>
    <w:p w14:paraId="69FEF72F" w14:textId="77777777" w:rsidR="007A5248" w:rsidRDefault="007A5248">
      <w:pPr>
        <w:autoSpaceDE w:val="0"/>
        <w:autoSpaceDN w:val="0"/>
        <w:adjustRightInd w:val="0"/>
        <w:rPr>
          <w:b/>
          <w:bCs/>
          <w:sz w:val="22"/>
          <w:szCs w:val="22"/>
        </w:rPr>
      </w:pPr>
    </w:p>
    <w:tbl>
      <w:tblPr>
        <w:tblW w:w="9371" w:type="dxa"/>
        <w:tblLayout w:type="fixed"/>
        <w:tblLook w:val="01E0" w:firstRow="1" w:lastRow="1" w:firstColumn="1" w:lastColumn="1" w:noHBand="0" w:noVBand="0"/>
      </w:tblPr>
      <w:tblGrid>
        <w:gridCol w:w="4431"/>
        <w:gridCol w:w="2470"/>
        <w:gridCol w:w="2470"/>
      </w:tblGrid>
      <w:tr w:rsidR="00532311" w14:paraId="29885A66" w14:textId="77777777" w:rsidTr="00A9561A">
        <w:trPr>
          <w:trHeight w:val="504"/>
        </w:trPr>
        <w:tc>
          <w:tcPr>
            <w:tcW w:w="4431" w:type="dxa"/>
          </w:tcPr>
          <w:p w14:paraId="4439C4E9" w14:textId="77777777" w:rsidR="00532311" w:rsidRDefault="00532311" w:rsidP="00773593">
            <w:pPr>
              <w:autoSpaceDE w:val="0"/>
              <w:autoSpaceDN w:val="0"/>
              <w:adjustRightInd w:val="0"/>
              <w:rPr>
                <w:b/>
                <w:bCs/>
                <w:sz w:val="20"/>
                <w:szCs w:val="20"/>
              </w:rPr>
            </w:pPr>
          </w:p>
        </w:tc>
        <w:tc>
          <w:tcPr>
            <w:tcW w:w="2470" w:type="dxa"/>
          </w:tcPr>
          <w:p w14:paraId="26C99980" w14:textId="77777777" w:rsidR="00532311" w:rsidRDefault="00532311" w:rsidP="00773593">
            <w:pPr>
              <w:autoSpaceDE w:val="0"/>
              <w:autoSpaceDN w:val="0"/>
              <w:adjustRightInd w:val="0"/>
              <w:jc w:val="center"/>
              <w:rPr>
                <w:b/>
                <w:bCs/>
                <w:sz w:val="20"/>
                <w:szCs w:val="20"/>
              </w:rPr>
            </w:pPr>
            <w:r>
              <w:rPr>
                <w:b/>
                <w:bCs/>
                <w:sz w:val="20"/>
                <w:szCs w:val="20"/>
              </w:rPr>
              <w:t>Current</w:t>
            </w:r>
          </w:p>
          <w:p w14:paraId="05642170" w14:textId="30D41CE5" w:rsidR="00532311" w:rsidRDefault="00532311" w:rsidP="00F205BC">
            <w:pPr>
              <w:autoSpaceDE w:val="0"/>
              <w:autoSpaceDN w:val="0"/>
              <w:adjustRightInd w:val="0"/>
              <w:jc w:val="center"/>
              <w:rPr>
                <w:b/>
                <w:bCs/>
                <w:sz w:val="20"/>
                <w:szCs w:val="20"/>
              </w:rPr>
            </w:pPr>
            <w:r>
              <w:rPr>
                <w:b/>
                <w:bCs/>
                <w:sz w:val="20"/>
                <w:szCs w:val="20"/>
              </w:rPr>
              <w:t>Distribution</w:t>
            </w:r>
          </w:p>
        </w:tc>
        <w:tc>
          <w:tcPr>
            <w:tcW w:w="2470" w:type="dxa"/>
          </w:tcPr>
          <w:p w14:paraId="2453C56F" w14:textId="77777777" w:rsidR="00532311" w:rsidRDefault="00532311" w:rsidP="00773593">
            <w:pPr>
              <w:autoSpaceDE w:val="0"/>
              <w:autoSpaceDN w:val="0"/>
              <w:adjustRightInd w:val="0"/>
              <w:jc w:val="center"/>
              <w:rPr>
                <w:b/>
                <w:bCs/>
                <w:sz w:val="20"/>
                <w:szCs w:val="20"/>
              </w:rPr>
            </w:pPr>
            <w:r>
              <w:rPr>
                <w:b/>
                <w:bCs/>
                <w:sz w:val="20"/>
                <w:szCs w:val="20"/>
              </w:rPr>
              <w:t>% of Current</w:t>
            </w:r>
          </w:p>
          <w:p w14:paraId="1D9641A3" w14:textId="50682823" w:rsidR="00532311" w:rsidRDefault="00532311" w:rsidP="00773593">
            <w:pPr>
              <w:autoSpaceDE w:val="0"/>
              <w:autoSpaceDN w:val="0"/>
              <w:adjustRightInd w:val="0"/>
              <w:jc w:val="center"/>
              <w:rPr>
                <w:b/>
                <w:bCs/>
                <w:sz w:val="20"/>
                <w:szCs w:val="20"/>
              </w:rPr>
            </w:pPr>
            <w:r>
              <w:rPr>
                <w:b/>
                <w:bCs/>
                <w:sz w:val="20"/>
                <w:szCs w:val="20"/>
              </w:rPr>
              <w:t>Distribution</w:t>
            </w:r>
          </w:p>
        </w:tc>
      </w:tr>
      <w:tr w:rsidR="00F9063F" w:rsidRPr="00177279" w14:paraId="10A34B09" w14:textId="77777777" w:rsidTr="00A9561A">
        <w:trPr>
          <w:trHeight w:val="252"/>
        </w:trPr>
        <w:tc>
          <w:tcPr>
            <w:tcW w:w="4431" w:type="dxa"/>
          </w:tcPr>
          <w:p w14:paraId="6F00C4DB" w14:textId="590910AD" w:rsidR="00F9063F" w:rsidRPr="00177279" w:rsidRDefault="00F9063F" w:rsidP="00F9063F">
            <w:pPr>
              <w:autoSpaceDE w:val="0"/>
              <w:autoSpaceDN w:val="0"/>
              <w:adjustRightInd w:val="0"/>
              <w:rPr>
                <w:b/>
                <w:bCs/>
                <w:sz w:val="20"/>
                <w:szCs w:val="20"/>
              </w:rPr>
            </w:pPr>
            <w:r w:rsidRPr="00177279">
              <w:rPr>
                <w:sz w:val="20"/>
                <w:szCs w:val="20"/>
              </w:rPr>
              <w:t>Estimated Net Investment Income</w:t>
            </w:r>
          </w:p>
        </w:tc>
        <w:tc>
          <w:tcPr>
            <w:tcW w:w="2470" w:type="dxa"/>
            <w:vAlign w:val="center"/>
          </w:tcPr>
          <w:p w14:paraId="0B8D028B" w14:textId="72ED9615" w:rsidR="00F9063F" w:rsidRPr="00B20CC3" w:rsidRDefault="00F9063F" w:rsidP="00F9063F">
            <w:pPr>
              <w:autoSpaceDE w:val="0"/>
              <w:autoSpaceDN w:val="0"/>
              <w:adjustRightInd w:val="0"/>
              <w:jc w:val="center"/>
              <w:rPr>
                <w:bCs/>
                <w:sz w:val="20"/>
                <w:szCs w:val="20"/>
              </w:rPr>
            </w:pPr>
            <w:r w:rsidRPr="00177279">
              <w:rPr>
                <w:bCs/>
                <w:sz w:val="20"/>
                <w:szCs w:val="20"/>
              </w:rPr>
              <w:t>$</w:t>
            </w:r>
            <w:r w:rsidR="007A5248">
              <w:rPr>
                <w:bCs/>
                <w:sz w:val="20"/>
                <w:szCs w:val="20"/>
              </w:rPr>
              <w:t>0.</w:t>
            </w:r>
            <w:r w:rsidR="00F9555E">
              <w:rPr>
                <w:bCs/>
                <w:sz w:val="20"/>
                <w:szCs w:val="20"/>
              </w:rPr>
              <w:t>00000</w:t>
            </w:r>
          </w:p>
        </w:tc>
        <w:tc>
          <w:tcPr>
            <w:tcW w:w="2470" w:type="dxa"/>
            <w:vAlign w:val="center"/>
          </w:tcPr>
          <w:p w14:paraId="3BA74113" w14:textId="0C1211B9" w:rsidR="00F9063F" w:rsidRPr="00B20CC3" w:rsidRDefault="003B3B3E" w:rsidP="00F9063F">
            <w:pPr>
              <w:autoSpaceDE w:val="0"/>
              <w:autoSpaceDN w:val="0"/>
              <w:adjustRightInd w:val="0"/>
              <w:jc w:val="center"/>
              <w:rPr>
                <w:bCs/>
                <w:sz w:val="20"/>
                <w:szCs w:val="20"/>
              </w:rPr>
            </w:pPr>
            <w:r>
              <w:rPr>
                <w:bCs/>
                <w:sz w:val="20"/>
                <w:szCs w:val="20"/>
              </w:rPr>
              <w:t xml:space="preserve">  </w:t>
            </w:r>
            <w:r w:rsidR="00F9555E">
              <w:rPr>
                <w:bCs/>
                <w:sz w:val="20"/>
                <w:szCs w:val="20"/>
              </w:rPr>
              <w:t xml:space="preserve">   0</w:t>
            </w:r>
            <w:r w:rsidR="005004AF">
              <w:rPr>
                <w:bCs/>
                <w:sz w:val="20"/>
                <w:szCs w:val="20"/>
              </w:rPr>
              <w:t>.00</w:t>
            </w:r>
            <w:r w:rsidR="00F9063F" w:rsidRPr="00C70259">
              <w:rPr>
                <w:bCs/>
                <w:sz w:val="20"/>
                <w:szCs w:val="20"/>
              </w:rPr>
              <w:t>%</w:t>
            </w:r>
          </w:p>
        </w:tc>
      </w:tr>
      <w:tr w:rsidR="00F9063F" w:rsidRPr="00177279" w14:paraId="57518F8C" w14:textId="77777777" w:rsidTr="00A9561A">
        <w:trPr>
          <w:trHeight w:val="124"/>
        </w:trPr>
        <w:tc>
          <w:tcPr>
            <w:tcW w:w="4431" w:type="dxa"/>
          </w:tcPr>
          <w:p w14:paraId="6C4C88E4" w14:textId="4BD1A393" w:rsidR="00F9063F" w:rsidRPr="00177279" w:rsidRDefault="00F9063F" w:rsidP="00F9063F">
            <w:pPr>
              <w:autoSpaceDE w:val="0"/>
              <w:autoSpaceDN w:val="0"/>
              <w:adjustRightInd w:val="0"/>
              <w:rPr>
                <w:b/>
                <w:bCs/>
                <w:sz w:val="20"/>
                <w:szCs w:val="20"/>
              </w:rPr>
            </w:pPr>
            <w:r w:rsidRPr="00177279">
              <w:rPr>
                <w:sz w:val="20"/>
                <w:szCs w:val="20"/>
              </w:rPr>
              <w:t>Estimated Return of Capital</w:t>
            </w:r>
          </w:p>
        </w:tc>
        <w:tc>
          <w:tcPr>
            <w:tcW w:w="2470" w:type="dxa"/>
            <w:vAlign w:val="center"/>
          </w:tcPr>
          <w:p w14:paraId="4F2C7788" w14:textId="178FB428" w:rsidR="00F9063F" w:rsidRPr="00A175EE" w:rsidRDefault="00F9063F" w:rsidP="00F9063F">
            <w:pPr>
              <w:autoSpaceDE w:val="0"/>
              <w:autoSpaceDN w:val="0"/>
              <w:adjustRightInd w:val="0"/>
              <w:jc w:val="center"/>
              <w:rPr>
                <w:bCs/>
                <w:sz w:val="20"/>
                <w:szCs w:val="20"/>
                <w:u w:val="single"/>
              </w:rPr>
            </w:pPr>
            <w:r w:rsidRPr="00A01D6C">
              <w:rPr>
                <w:bCs/>
                <w:sz w:val="20"/>
                <w:szCs w:val="20"/>
                <w:u w:val="single"/>
              </w:rPr>
              <w:t>$0.</w:t>
            </w:r>
            <w:r w:rsidR="00F9555E">
              <w:rPr>
                <w:bCs/>
                <w:sz w:val="20"/>
                <w:szCs w:val="20"/>
                <w:u w:val="single"/>
              </w:rPr>
              <w:t>87000</w:t>
            </w:r>
          </w:p>
        </w:tc>
        <w:tc>
          <w:tcPr>
            <w:tcW w:w="2470" w:type="dxa"/>
            <w:vAlign w:val="center"/>
          </w:tcPr>
          <w:p w14:paraId="77F27B0A" w14:textId="61E1E7A4" w:rsidR="00F9063F" w:rsidRPr="00A175EE" w:rsidRDefault="00062539" w:rsidP="00F9063F">
            <w:pPr>
              <w:autoSpaceDE w:val="0"/>
              <w:autoSpaceDN w:val="0"/>
              <w:adjustRightInd w:val="0"/>
              <w:jc w:val="center"/>
              <w:rPr>
                <w:bCs/>
                <w:sz w:val="20"/>
                <w:szCs w:val="20"/>
                <w:u w:val="single"/>
              </w:rPr>
            </w:pPr>
            <w:r>
              <w:rPr>
                <w:bCs/>
                <w:sz w:val="20"/>
                <w:szCs w:val="20"/>
                <w:u w:val="single"/>
              </w:rPr>
              <w:t xml:space="preserve"> </w:t>
            </w:r>
            <w:r w:rsidR="00F9555E">
              <w:rPr>
                <w:bCs/>
                <w:sz w:val="20"/>
                <w:szCs w:val="20"/>
                <w:u w:val="single"/>
              </w:rPr>
              <w:t>100</w:t>
            </w:r>
            <w:r w:rsidR="008D1F51">
              <w:rPr>
                <w:bCs/>
                <w:sz w:val="20"/>
                <w:szCs w:val="20"/>
                <w:u w:val="single"/>
              </w:rPr>
              <w:t>.</w:t>
            </w:r>
            <w:r w:rsidR="005004AF">
              <w:rPr>
                <w:bCs/>
                <w:sz w:val="20"/>
                <w:szCs w:val="20"/>
                <w:u w:val="single"/>
              </w:rPr>
              <w:t>00</w:t>
            </w:r>
            <w:r w:rsidR="00F9063F" w:rsidRPr="006E599E">
              <w:rPr>
                <w:bCs/>
                <w:sz w:val="20"/>
                <w:szCs w:val="20"/>
                <w:u w:val="single"/>
              </w:rPr>
              <w:t>%</w:t>
            </w:r>
          </w:p>
        </w:tc>
      </w:tr>
      <w:tr w:rsidR="00F9063F" w:rsidRPr="00177279" w14:paraId="7C055B99" w14:textId="77777777" w:rsidTr="00A9561A">
        <w:trPr>
          <w:trHeight w:val="124"/>
        </w:trPr>
        <w:tc>
          <w:tcPr>
            <w:tcW w:w="4431" w:type="dxa"/>
          </w:tcPr>
          <w:p w14:paraId="6EFCDC87" w14:textId="77777777" w:rsidR="00F9063F" w:rsidRPr="00177279" w:rsidRDefault="00F9063F" w:rsidP="00F9063F">
            <w:pPr>
              <w:autoSpaceDE w:val="0"/>
              <w:autoSpaceDN w:val="0"/>
              <w:adjustRightInd w:val="0"/>
              <w:rPr>
                <w:b/>
                <w:bCs/>
                <w:sz w:val="20"/>
                <w:szCs w:val="20"/>
              </w:rPr>
            </w:pPr>
            <w:r w:rsidRPr="00177279">
              <w:rPr>
                <w:sz w:val="20"/>
                <w:szCs w:val="20"/>
              </w:rPr>
              <w:t>Total (per common share)</w:t>
            </w:r>
          </w:p>
        </w:tc>
        <w:tc>
          <w:tcPr>
            <w:tcW w:w="2470" w:type="dxa"/>
            <w:vAlign w:val="center"/>
          </w:tcPr>
          <w:p w14:paraId="75A50BBE" w14:textId="57713A4A" w:rsidR="00F9063F" w:rsidRPr="00B20CC3" w:rsidRDefault="00F9063F" w:rsidP="00F9063F">
            <w:pPr>
              <w:autoSpaceDE w:val="0"/>
              <w:autoSpaceDN w:val="0"/>
              <w:adjustRightInd w:val="0"/>
              <w:jc w:val="center"/>
              <w:rPr>
                <w:bCs/>
                <w:sz w:val="20"/>
                <w:szCs w:val="20"/>
              </w:rPr>
            </w:pPr>
            <w:r w:rsidRPr="00A17E3F">
              <w:rPr>
                <w:bCs/>
                <w:sz w:val="20"/>
                <w:szCs w:val="20"/>
              </w:rPr>
              <w:t>$0.</w:t>
            </w:r>
            <w:r w:rsidR="009A6C88">
              <w:rPr>
                <w:bCs/>
                <w:sz w:val="20"/>
                <w:szCs w:val="20"/>
              </w:rPr>
              <w:t>8</w:t>
            </w:r>
            <w:r w:rsidR="00987734">
              <w:rPr>
                <w:bCs/>
                <w:sz w:val="20"/>
                <w:szCs w:val="20"/>
              </w:rPr>
              <w:t>7</w:t>
            </w:r>
            <w:r w:rsidR="008D1F51">
              <w:rPr>
                <w:bCs/>
                <w:sz w:val="20"/>
                <w:szCs w:val="20"/>
              </w:rPr>
              <w:t>000</w:t>
            </w:r>
          </w:p>
        </w:tc>
        <w:tc>
          <w:tcPr>
            <w:tcW w:w="2470" w:type="dxa"/>
            <w:vAlign w:val="center"/>
          </w:tcPr>
          <w:p w14:paraId="57C07D05" w14:textId="4A2BC42F" w:rsidR="00F9063F" w:rsidRPr="00B20CC3" w:rsidRDefault="00F9555E" w:rsidP="00F9063F">
            <w:pPr>
              <w:autoSpaceDE w:val="0"/>
              <w:autoSpaceDN w:val="0"/>
              <w:adjustRightInd w:val="0"/>
              <w:jc w:val="center"/>
              <w:rPr>
                <w:bCs/>
                <w:sz w:val="20"/>
                <w:szCs w:val="20"/>
              </w:rPr>
            </w:pPr>
            <w:r>
              <w:rPr>
                <w:bCs/>
                <w:sz w:val="20"/>
                <w:szCs w:val="20"/>
              </w:rPr>
              <w:t xml:space="preserve"> </w:t>
            </w:r>
            <w:r w:rsidR="00F9063F" w:rsidRPr="00B20CC3">
              <w:rPr>
                <w:bCs/>
                <w:sz w:val="20"/>
                <w:szCs w:val="20"/>
              </w:rPr>
              <w:t>100.00%</w:t>
            </w:r>
          </w:p>
        </w:tc>
      </w:tr>
    </w:tbl>
    <w:p w14:paraId="3E2B66C7" w14:textId="77777777" w:rsidR="00901338" w:rsidRPr="00AC27AD" w:rsidRDefault="00901338" w:rsidP="000413BA">
      <w:pPr>
        <w:autoSpaceDE w:val="0"/>
        <w:autoSpaceDN w:val="0"/>
        <w:adjustRightInd w:val="0"/>
        <w:rPr>
          <w:sz w:val="22"/>
          <w:szCs w:val="22"/>
        </w:rPr>
      </w:pPr>
    </w:p>
    <w:tbl>
      <w:tblPr>
        <w:tblStyle w:val="TableGrid"/>
        <w:tblW w:w="8725" w:type="dxa"/>
        <w:tblLook w:val="04A0" w:firstRow="1" w:lastRow="0" w:firstColumn="1" w:lastColumn="0" w:noHBand="0" w:noVBand="1"/>
      </w:tblPr>
      <w:tblGrid>
        <w:gridCol w:w="5128"/>
        <w:gridCol w:w="2757"/>
        <w:gridCol w:w="840"/>
      </w:tblGrid>
      <w:tr w:rsidR="00901338" w14:paraId="2F7F6753" w14:textId="77777777" w:rsidTr="00733E93">
        <w:tc>
          <w:tcPr>
            <w:tcW w:w="5215" w:type="dxa"/>
          </w:tcPr>
          <w:p w14:paraId="56B75AE3" w14:textId="77777777" w:rsidR="00901338" w:rsidRPr="00F205BC" w:rsidRDefault="00901338" w:rsidP="00733E93">
            <w:pPr>
              <w:autoSpaceDE w:val="0"/>
              <w:autoSpaceDN w:val="0"/>
              <w:adjustRightInd w:val="0"/>
              <w:rPr>
                <w:b/>
                <w:bCs/>
                <w:sz w:val="22"/>
                <w:szCs w:val="22"/>
              </w:rPr>
            </w:pPr>
            <w:r w:rsidRPr="00F205BC">
              <w:rPr>
                <w:b/>
                <w:bCs/>
                <w:sz w:val="22"/>
                <w:szCs w:val="22"/>
              </w:rPr>
              <w:t>Fund Name</w:t>
            </w:r>
          </w:p>
        </w:tc>
        <w:tc>
          <w:tcPr>
            <w:tcW w:w="2790" w:type="dxa"/>
          </w:tcPr>
          <w:p w14:paraId="5326A2D0" w14:textId="77777777" w:rsidR="00901338" w:rsidRPr="00F205BC" w:rsidRDefault="00901338" w:rsidP="00733E93">
            <w:pPr>
              <w:autoSpaceDE w:val="0"/>
              <w:autoSpaceDN w:val="0"/>
              <w:adjustRightInd w:val="0"/>
              <w:jc w:val="center"/>
              <w:rPr>
                <w:b/>
                <w:bCs/>
                <w:sz w:val="22"/>
                <w:szCs w:val="22"/>
              </w:rPr>
            </w:pPr>
            <w:r w:rsidRPr="00F205BC">
              <w:rPr>
                <w:b/>
                <w:bCs/>
                <w:sz w:val="22"/>
                <w:szCs w:val="22"/>
              </w:rPr>
              <w:t>CUSIP</w:t>
            </w:r>
          </w:p>
        </w:tc>
        <w:tc>
          <w:tcPr>
            <w:tcW w:w="720" w:type="dxa"/>
          </w:tcPr>
          <w:p w14:paraId="0C40DD88" w14:textId="77777777" w:rsidR="00901338" w:rsidRPr="00F205BC" w:rsidRDefault="00901338" w:rsidP="00733E93">
            <w:pPr>
              <w:autoSpaceDE w:val="0"/>
              <w:autoSpaceDN w:val="0"/>
              <w:adjustRightInd w:val="0"/>
              <w:jc w:val="center"/>
              <w:rPr>
                <w:b/>
                <w:bCs/>
                <w:sz w:val="22"/>
                <w:szCs w:val="22"/>
              </w:rPr>
            </w:pPr>
            <w:r>
              <w:rPr>
                <w:b/>
                <w:bCs/>
                <w:sz w:val="22"/>
                <w:szCs w:val="22"/>
              </w:rPr>
              <w:t>Ticker</w:t>
            </w:r>
          </w:p>
        </w:tc>
      </w:tr>
      <w:tr w:rsidR="00901338" w14:paraId="467FE2B3" w14:textId="77777777" w:rsidTr="00733E93">
        <w:tc>
          <w:tcPr>
            <w:tcW w:w="5215" w:type="dxa"/>
          </w:tcPr>
          <w:p w14:paraId="45ABA87A" w14:textId="4EA81F57" w:rsidR="00901338" w:rsidRDefault="000F55FD" w:rsidP="00733E93">
            <w:pPr>
              <w:autoSpaceDE w:val="0"/>
              <w:autoSpaceDN w:val="0"/>
              <w:adjustRightInd w:val="0"/>
              <w:rPr>
                <w:sz w:val="22"/>
                <w:szCs w:val="22"/>
              </w:rPr>
            </w:pPr>
            <w:r>
              <w:rPr>
                <w:sz w:val="22"/>
                <w:szCs w:val="22"/>
              </w:rPr>
              <w:t>NestYield Total Return Guard ETF</w:t>
            </w:r>
          </w:p>
        </w:tc>
        <w:tc>
          <w:tcPr>
            <w:tcW w:w="2790" w:type="dxa"/>
          </w:tcPr>
          <w:p w14:paraId="656B3B8A" w14:textId="208CCBBD" w:rsidR="00901338" w:rsidRDefault="0081397A" w:rsidP="00733E93">
            <w:pPr>
              <w:autoSpaceDE w:val="0"/>
              <w:autoSpaceDN w:val="0"/>
              <w:adjustRightInd w:val="0"/>
              <w:jc w:val="center"/>
              <w:rPr>
                <w:sz w:val="22"/>
                <w:szCs w:val="22"/>
              </w:rPr>
            </w:pPr>
            <w:r>
              <w:rPr>
                <w:bCs/>
                <w:sz w:val="22"/>
                <w:szCs w:val="22"/>
              </w:rPr>
              <w:t>45259A795</w:t>
            </w:r>
          </w:p>
        </w:tc>
        <w:tc>
          <w:tcPr>
            <w:tcW w:w="720" w:type="dxa"/>
          </w:tcPr>
          <w:p w14:paraId="5DD81A90" w14:textId="078FDF41" w:rsidR="00901338" w:rsidRPr="002F41E5" w:rsidRDefault="0081397A" w:rsidP="00733E93">
            <w:pPr>
              <w:autoSpaceDE w:val="0"/>
              <w:autoSpaceDN w:val="0"/>
              <w:adjustRightInd w:val="0"/>
              <w:jc w:val="center"/>
              <w:rPr>
                <w:bCs/>
                <w:sz w:val="22"/>
                <w:szCs w:val="22"/>
              </w:rPr>
            </w:pPr>
            <w:r>
              <w:rPr>
                <w:bCs/>
                <w:sz w:val="22"/>
                <w:szCs w:val="22"/>
              </w:rPr>
              <w:t>EGGS</w:t>
            </w:r>
          </w:p>
        </w:tc>
      </w:tr>
    </w:tbl>
    <w:p w14:paraId="2CD13D5A" w14:textId="77777777" w:rsidR="00AC27AD" w:rsidRDefault="00AC27AD" w:rsidP="001132BA">
      <w:pPr>
        <w:autoSpaceDE w:val="0"/>
        <w:autoSpaceDN w:val="0"/>
        <w:adjustRightInd w:val="0"/>
        <w:jc w:val="both"/>
        <w:rPr>
          <w:b/>
          <w:bCs/>
          <w:sz w:val="22"/>
          <w:szCs w:val="22"/>
        </w:rPr>
      </w:pPr>
    </w:p>
    <w:tbl>
      <w:tblPr>
        <w:tblW w:w="9371" w:type="dxa"/>
        <w:tblLayout w:type="fixed"/>
        <w:tblLook w:val="01E0" w:firstRow="1" w:lastRow="1" w:firstColumn="1" w:lastColumn="1" w:noHBand="0" w:noVBand="0"/>
      </w:tblPr>
      <w:tblGrid>
        <w:gridCol w:w="4431"/>
        <w:gridCol w:w="2470"/>
        <w:gridCol w:w="2470"/>
      </w:tblGrid>
      <w:tr w:rsidR="00901338" w14:paraId="43E4E742" w14:textId="77777777" w:rsidTr="00733E93">
        <w:trPr>
          <w:trHeight w:val="504"/>
        </w:trPr>
        <w:tc>
          <w:tcPr>
            <w:tcW w:w="4431" w:type="dxa"/>
          </w:tcPr>
          <w:p w14:paraId="1EAE34B0" w14:textId="77777777" w:rsidR="00901338" w:rsidRDefault="00901338" w:rsidP="00733E93">
            <w:pPr>
              <w:autoSpaceDE w:val="0"/>
              <w:autoSpaceDN w:val="0"/>
              <w:adjustRightInd w:val="0"/>
              <w:rPr>
                <w:b/>
                <w:bCs/>
                <w:sz w:val="20"/>
                <w:szCs w:val="20"/>
              </w:rPr>
            </w:pPr>
          </w:p>
        </w:tc>
        <w:tc>
          <w:tcPr>
            <w:tcW w:w="2470" w:type="dxa"/>
          </w:tcPr>
          <w:p w14:paraId="1C280E92" w14:textId="77777777" w:rsidR="00901338" w:rsidRDefault="00901338" w:rsidP="00733E93">
            <w:pPr>
              <w:autoSpaceDE w:val="0"/>
              <w:autoSpaceDN w:val="0"/>
              <w:adjustRightInd w:val="0"/>
              <w:jc w:val="center"/>
              <w:rPr>
                <w:b/>
                <w:bCs/>
                <w:sz w:val="20"/>
                <w:szCs w:val="20"/>
              </w:rPr>
            </w:pPr>
            <w:r>
              <w:rPr>
                <w:b/>
                <w:bCs/>
                <w:sz w:val="20"/>
                <w:szCs w:val="20"/>
              </w:rPr>
              <w:t>Current</w:t>
            </w:r>
          </w:p>
          <w:p w14:paraId="47C3A738" w14:textId="77777777" w:rsidR="00901338" w:rsidRDefault="00901338" w:rsidP="00733E93">
            <w:pPr>
              <w:autoSpaceDE w:val="0"/>
              <w:autoSpaceDN w:val="0"/>
              <w:adjustRightInd w:val="0"/>
              <w:jc w:val="center"/>
              <w:rPr>
                <w:b/>
                <w:bCs/>
                <w:sz w:val="20"/>
                <w:szCs w:val="20"/>
              </w:rPr>
            </w:pPr>
            <w:r>
              <w:rPr>
                <w:b/>
                <w:bCs/>
                <w:sz w:val="20"/>
                <w:szCs w:val="20"/>
              </w:rPr>
              <w:t>Distribution</w:t>
            </w:r>
          </w:p>
        </w:tc>
        <w:tc>
          <w:tcPr>
            <w:tcW w:w="2470" w:type="dxa"/>
          </w:tcPr>
          <w:p w14:paraId="37F2E151" w14:textId="77777777" w:rsidR="00901338" w:rsidRDefault="00901338" w:rsidP="00733E93">
            <w:pPr>
              <w:autoSpaceDE w:val="0"/>
              <w:autoSpaceDN w:val="0"/>
              <w:adjustRightInd w:val="0"/>
              <w:jc w:val="center"/>
              <w:rPr>
                <w:b/>
                <w:bCs/>
                <w:sz w:val="20"/>
                <w:szCs w:val="20"/>
              </w:rPr>
            </w:pPr>
            <w:r>
              <w:rPr>
                <w:b/>
                <w:bCs/>
                <w:sz w:val="20"/>
                <w:szCs w:val="20"/>
              </w:rPr>
              <w:t>% of Current</w:t>
            </w:r>
          </w:p>
          <w:p w14:paraId="7BBAAF52" w14:textId="77777777" w:rsidR="00901338" w:rsidRDefault="00901338" w:rsidP="00733E93">
            <w:pPr>
              <w:autoSpaceDE w:val="0"/>
              <w:autoSpaceDN w:val="0"/>
              <w:adjustRightInd w:val="0"/>
              <w:jc w:val="center"/>
              <w:rPr>
                <w:b/>
                <w:bCs/>
                <w:sz w:val="20"/>
                <w:szCs w:val="20"/>
              </w:rPr>
            </w:pPr>
            <w:r>
              <w:rPr>
                <w:b/>
                <w:bCs/>
                <w:sz w:val="20"/>
                <w:szCs w:val="20"/>
              </w:rPr>
              <w:t>Distribution</w:t>
            </w:r>
          </w:p>
        </w:tc>
      </w:tr>
      <w:tr w:rsidR="00901338" w:rsidRPr="00177279" w14:paraId="1DEA2DB2" w14:textId="77777777" w:rsidTr="00733E93">
        <w:trPr>
          <w:trHeight w:val="252"/>
        </w:trPr>
        <w:tc>
          <w:tcPr>
            <w:tcW w:w="4431" w:type="dxa"/>
          </w:tcPr>
          <w:p w14:paraId="3F889C3A" w14:textId="77777777" w:rsidR="00901338" w:rsidRPr="00177279" w:rsidRDefault="00901338" w:rsidP="00733E93">
            <w:pPr>
              <w:autoSpaceDE w:val="0"/>
              <w:autoSpaceDN w:val="0"/>
              <w:adjustRightInd w:val="0"/>
              <w:rPr>
                <w:b/>
                <w:bCs/>
                <w:sz w:val="20"/>
                <w:szCs w:val="20"/>
              </w:rPr>
            </w:pPr>
            <w:r w:rsidRPr="00177279">
              <w:rPr>
                <w:sz w:val="20"/>
                <w:szCs w:val="20"/>
              </w:rPr>
              <w:t>Estimated Net Investment Income</w:t>
            </w:r>
          </w:p>
        </w:tc>
        <w:tc>
          <w:tcPr>
            <w:tcW w:w="2470" w:type="dxa"/>
            <w:vAlign w:val="center"/>
          </w:tcPr>
          <w:p w14:paraId="76DE4152" w14:textId="4FA26824" w:rsidR="00901338" w:rsidRPr="00B20CC3" w:rsidRDefault="00901338" w:rsidP="00733E93">
            <w:pPr>
              <w:autoSpaceDE w:val="0"/>
              <w:autoSpaceDN w:val="0"/>
              <w:adjustRightInd w:val="0"/>
              <w:jc w:val="center"/>
              <w:rPr>
                <w:bCs/>
                <w:sz w:val="20"/>
                <w:szCs w:val="20"/>
              </w:rPr>
            </w:pPr>
            <w:r w:rsidRPr="00177279">
              <w:rPr>
                <w:bCs/>
                <w:sz w:val="20"/>
                <w:szCs w:val="20"/>
              </w:rPr>
              <w:t>$</w:t>
            </w:r>
            <w:r>
              <w:rPr>
                <w:bCs/>
                <w:sz w:val="20"/>
                <w:szCs w:val="20"/>
              </w:rPr>
              <w:t>0.</w:t>
            </w:r>
            <w:r w:rsidR="00F9555E">
              <w:rPr>
                <w:bCs/>
                <w:sz w:val="20"/>
                <w:szCs w:val="20"/>
              </w:rPr>
              <w:t>00000</w:t>
            </w:r>
          </w:p>
        </w:tc>
        <w:tc>
          <w:tcPr>
            <w:tcW w:w="2470" w:type="dxa"/>
            <w:vAlign w:val="center"/>
          </w:tcPr>
          <w:p w14:paraId="477CE857" w14:textId="2AEBD2A8" w:rsidR="00901338" w:rsidRPr="00B20CC3" w:rsidRDefault="00FE0013" w:rsidP="00733E93">
            <w:pPr>
              <w:autoSpaceDE w:val="0"/>
              <w:autoSpaceDN w:val="0"/>
              <w:adjustRightInd w:val="0"/>
              <w:jc w:val="center"/>
              <w:rPr>
                <w:bCs/>
                <w:sz w:val="20"/>
                <w:szCs w:val="20"/>
              </w:rPr>
            </w:pPr>
            <w:r>
              <w:rPr>
                <w:bCs/>
                <w:sz w:val="20"/>
                <w:szCs w:val="20"/>
              </w:rPr>
              <w:t xml:space="preserve">    </w:t>
            </w:r>
            <w:r w:rsidR="004C0BFD">
              <w:rPr>
                <w:bCs/>
                <w:sz w:val="20"/>
                <w:szCs w:val="20"/>
              </w:rPr>
              <w:t>0.00</w:t>
            </w:r>
            <w:r w:rsidR="00901338" w:rsidRPr="00C70259">
              <w:rPr>
                <w:bCs/>
                <w:sz w:val="20"/>
                <w:szCs w:val="20"/>
              </w:rPr>
              <w:t>%</w:t>
            </w:r>
          </w:p>
        </w:tc>
      </w:tr>
      <w:tr w:rsidR="00901338" w:rsidRPr="00177279" w14:paraId="6215E1D6" w14:textId="77777777" w:rsidTr="00733E93">
        <w:trPr>
          <w:trHeight w:val="124"/>
        </w:trPr>
        <w:tc>
          <w:tcPr>
            <w:tcW w:w="4431" w:type="dxa"/>
          </w:tcPr>
          <w:p w14:paraId="3BE7C235" w14:textId="77777777" w:rsidR="00901338" w:rsidRPr="00177279" w:rsidRDefault="00901338" w:rsidP="00733E93">
            <w:pPr>
              <w:autoSpaceDE w:val="0"/>
              <w:autoSpaceDN w:val="0"/>
              <w:adjustRightInd w:val="0"/>
              <w:rPr>
                <w:b/>
                <w:bCs/>
                <w:sz w:val="20"/>
                <w:szCs w:val="20"/>
              </w:rPr>
            </w:pPr>
            <w:r w:rsidRPr="00177279">
              <w:rPr>
                <w:sz w:val="20"/>
                <w:szCs w:val="20"/>
              </w:rPr>
              <w:t>Estimated Return of Capital</w:t>
            </w:r>
          </w:p>
        </w:tc>
        <w:tc>
          <w:tcPr>
            <w:tcW w:w="2470" w:type="dxa"/>
            <w:vAlign w:val="center"/>
          </w:tcPr>
          <w:p w14:paraId="45123C1A" w14:textId="4B289EC8" w:rsidR="00901338" w:rsidRPr="00A175EE" w:rsidRDefault="00901338" w:rsidP="00733E93">
            <w:pPr>
              <w:autoSpaceDE w:val="0"/>
              <w:autoSpaceDN w:val="0"/>
              <w:adjustRightInd w:val="0"/>
              <w:jc w:val="center"/>
              <w:rPr>
                <w:bCs/>
                <w:sz w:val="20"/>
                <w:szCs w:val="20"/>
                <w:u w:val="single"/>
              </w:rPr>
            </w:pPr>
            <w:r w:rsidRPr="00A01D6C">
              <w:rPr>
                <w:bCs/>
                <w:sz w:val="20"/>
                <w:szCs w:val="20"/>
                <w:u w:val="single"/>
              </w:rPr>
              <w:t>$0.</w:t>
            </w:r>
            <w:r w:rsidR="00FE0013">
              <w:rPr>
                <w:bCs/>
                <w:sz w:val="20"/>
                <w:szCs w:val="20"/>
                <w:u w:val="single"/>
              </w:rPr>
              <w:t>50</w:t>
            </w:r>
            <w:r w:rsidR="008E5FE4">
              <w:rPr>
                <w:bCs/>
                <w:sz w:val="20"/>
                <w:szCs w:val="20"/>
                <w:u w:val="single"/>
              </w:rPr>
              <w:t>000</w:t>
            </w:r>
          </w:p>
        </w:tc>
        <w:tc>
          <w:tcPr>
            <w:tcW w:w="2470" w:type="dxa"/>
            <w:vAlign w:val="center"/>
          </w:tcPr>
          <w:p w14:paraId="67988AE8" w14:textId="33FD2E08" w:rsidR="00901338" w:rsidRPr="00A175EE" w:rsidRDefault="00901338" w:rsidP="00733E93">
            <w:pPr>
              <w:autoSpaceDE w:val="0"/>
              <w:autoSpaceDN w:val="0"/>
              <w:adjustRightInd w:val="0"/>
              <w:jc w:val="center"/>
              <w:rPr>
                <w:bCs/>
                <w:sz w:val="20"/>
                <w:szCs w:val="20"/>
                <w:u w:val="single"/>
              </w:rPr>
            </w:pPr>
            <w:r>
              <w:rPr>
                <w:bCs/>
                <w:sz w:val="20"/>
                <w:szCs w:val="20"/>
                <w:u w:val="single"/>
              </w:rPr>
              <w:t xml:space="preserve"> </w:t>
            </w:r>
            <w:r w:rsidR="00FE0013">
              <w:rPr>
                <w:bCs/>
                <w:sz w:val="20"/>
                <w:szCs w:val="20"/>
                <w:u w:val="single"/>
              </w:rPr>
              <w:t>10</w:t>
            </w:r>
            <w:r w:rsidR="004C0BFD">
              <w:rPr>
                <w:bCs/>
                <w:sz w:val="20"/>
                <w:szCs w:val="20"/>
                <w:u w:val="single"/>
              </w:rPr>
              <w:t>0.00</w:t>
            </w:r>
            <w:r w:rsidRPr="006E599E">
              <w:rPr>
                <w:bCs/>
                <w:sz w:val="20"/>
                <w:szCs w:val="20"/>
                <w:u w:val="single"/>
              </w:rPr>
              <w:t>%</w:t>
            </w:r>
          </w:p>
        </w:tc>
      </w:tr>
      <w:tr w:rsidR="00901338" w:rsidRPr="00177279" w14:paraId="168014EE" w14:textId="77777777" w:rsidTr="00733E93">
        <w:trPr>
          <w:trHeight w:val="124"/>
        </w:trPr>
        <w:tc>
          <w:tcPr>
            <w:tcW w:w="4431" w:type="dxa"/>
          </w:tcPr>
          <w:p w14:paraId="7C85BCBC" w14:textId="77777777" w:rsidR="00901338" w:rsidRPr="00177279" w:rsidRDefault="00901338" w:rsidP="00733E93">
            <w:pPr>
              <w:autoSpaceDE w:val="0"/>
              <w:autoSpaceDN w:val="0"/>
              <w:adjustRightInd w:val="0"/>
              <w:rPr>
                <w:b/>
                <w:bCs/>
                <w:sz w:val="20"/>
                <w:szCs w:val="20"/>
              </w:rPr>
            </w:pPr>
            <w:r w:rsidRPr="00177279">
              <w:rPr>
                <w:sz w:val="20"/>
                <w:szCs w:val="20"/>
              </w:rPr>
              <w:t>Total (per common share)</w:t>
            </w:r>
          </w:p>
        </w:tc>
        <w:tc>
          <w:tcPr>
            <w:tcW w:w="2470" w:type="dxa"/>
            <w:vAlign w:val="center"/>
          </w:tcPr>
          <w:p w14:paraId="31A66B03" w14:textId="6B39CD79" w:rsidR="00901338" w:rsidRPr="00B20CC3" w:rsidRDefault="00901338" w:rsidP="00733E93">
            <w:pPr>
              <w:autoSpaceDE w:val="0"/>
              <w:autoSpaceDN w:val="0"/>
              <w:adjustRightInd w:val="0"/>
              <w:jc w:val="center"/>
              <w:rPr>
                <w:bCs/>
                <w:sz w:val="20"/>
                <w:szCs w:val="20"/>
              </w:rPr>
            </w:pPr>
            <w:r w:rsidRPr="00A17E3F">
              <w:rPr>
                <w:bCs/>
                <w:sz w:val="20"/>
                <w:szCs w:val="20"/>
              </w:rPr>
              <w:t>$0.</w:t>
            </w:r>
            <w:r w:rsidR="003B3B3E">
              <w:rPr>
                <w:bCs/>
                <w:sz w:val="20"/>
                <w:szCs w:val="20"/>
              </w:rPr>
              <w:t>50</w:t>
            </w:r>
            <w:r w:rsidR="00E82E03">
              <w:rPr>
                <w:bCs/>
                <w:sz w:val="20"/>
                <w:szCs w:val="20"/>
              </w:rPr>
              <w:t>000</w:t>
            </w:r>
          </w:p>
        </w:tc>
        <w:tc>
          <w:tcPr>
            <w:tcW w:w="2470" w:type="dxa"/>
            <w:vAlign w:val="center"/>
          </w:tcPr>
          <w:p w14:paraId="58642F86" w14:textId="12DBA8D3" w:rsidR="00901338" w:rsidRPr="00B20CC3" w:rsidRDefault="00FE0013" w:rsidP="00733E93">
            <w:pPr>
              <w:autoSpaceDE w:val="0"/>
              <w:autoSpaceDN w:val="0"/>
              <w:adjustRightInd w:val="0"/>
              <w:jc w:val="center"/>
              <w:rPr>
                <w:bCs/>
                <w:sz w:val="20"/>
                <w:szCs w:val="20"/>
              </w:rPr>
            </w:pPr>
            <w:r>
              <w:rPr>
                <w:bCs/>
                <w:sz w:val="20"/>
                <w:szCs w:val="20"/>
              </w:rPr>
              <w:t xml:space="preserve"> </w:t>
            </w:r>
            <w:r w:rsidR="00901338" w:rsidRPr="00B20CC3">
              <w:rPr>
                <w:bCs/>
                <w:sz w:val="20"/>
                <w:szCs w:val="20"/>
              </w:rPr>
              <w:t>100.00%</w:t>
            </w:r>
          </w:p>
        </w:tc>
      </w:tr>
    </w:tbl>
    <w:p w14:paraId="0173E8D1" w14:textId="77777777" w:rsidR="00901338" w:rsidRDefault="00901338" w:rsidP="001132BA">
      <w:pPr>
        <w:autoSpaceDE w:val="0"/>
        <w:autoSpaceDN w:val="0"/>
        <w:adjustRightInd w:val="0"/>
        <w:jc w:val="both"/>
        <w:rPr>
          <w:b/>
          <w:bCs/>
          <w:sz w:val="22"/>
          <w:szCs w:val="22"/>
        </w:rPr>
      </w:pPr>
    </w:p>
    <w:tbl>
      <w:tblPr>
        <w:tblStyle w:val="TableGrid"/>
        <w:tblW w:w="8725" w:type="dxa"/>
        <w:tblLook w:val="04A0" w:firstRow="1" w:lastRow="0" w:firstColumn="1" w:lastColumn="0" w:noHBand="0" w:noVBand="1"/>
      </w:tblPr>
      <w:tblGrid>
        <w:gridCol w:w="5128"/>
        <w:gridCol w:w="2757"/>
        <w:gridCol w:w="840"/>
      </w:tblGrid>
      <w:tr w:rsidR="00675A3C" w14:paraId="55EC4ED3" w14:textId="77777777" w:rsidTr="00733E93">
        <w:tc>
          <w:tcPr>
            <w:tcW w:w="5215" w:type="dxa"/>
          </w:tcPr>
          <w:p w14:paraId="77666B6E" w14:textId="77777777" w:rsidR="00675A3C" w:rsidRPr="00F205BC" w:rsidRDefault="00675A3C" w:rsidP="00733E93">
            <w:pPr>
              <w:autoSpaceDE w:val="0"/>
              <w:autoSpaceDN w:val="0"/>
              <w:adjustRightInd w:val="0"/>
              <w:rPr>
                <w:b/>
                <w:bCs/>
                <w:sz w:val="22"/>
                <w:szCs w:val="22"/>
              </w:rPr>
            </w:pPr>
            <w:r w:rsidRPr="00F205BC">
              <w:rPr>
                <w:b/>
                <w:bCs/>
                <w:sz w:val="22"/>
                <w:szCs w:val="22"/>
              </w:rPr>
              <w:t>Fund Name</w:t>
            </w:r>
          </w:p>
        </w:tc>
        <w:tc>
          <w:tcPr>
            <w:tcW w:w="2790" w:type="dxa"/>
          </w:tcPr>
          <w:p w14:paraId="2F3456E5" w14:textId="77777777" w:rsidR="00675A3C" w:rsidRPr="00F205BC" w:rsidRDefault="00675A3C" w:rsidP="00733E93">
            <w:pPr>
              <w:autoSpaceDE w:val="0"/>
              <w:autoSpaceDN w:val="0"/>
              <w:adjustRightInd w:val="0"/>
              <w:jc w:val="center"/>
              <w:rPr>
                <w:b/>
                <w:bCs/>
                <w:sz w:val="22"/>
                <w:szCs w:val="22"/>
              </w:rPr>
            </w:pPr>
            <w:r w:rsidRPr="00F205BC">
              <w:rPr>
                <w:b/>
                <w:bCs/>
                <w:sz w:val="22"/>
                <w:szCs w:val="22"/>
              </w:rPr>
              <w:t>CUSIP</w:t>
            </w:r>
          </w:p>
        </w:tc>
        <w:tc>
          <w:tcPr>
            <w:tcW w:w="720" w:type="dxa"/>
          </w:tcPr>
          <w:p w14:paraId="05F65374" w14:textId="77777777" w:rsidR="00675A3C" w:rsidRPr="00F205BC" w:rsidRDefault="00675A3C" w:rsidP="00733E93">
            <w:pPr>
              <w:autoSpaceDE w:val="0"/>
              <w:autoSpaceDN w:val="0"/>
              <w:adjustRightInd w:val="0"/>
              <w:jc w:val="center"/>
              <w:rPr>
                <w:b/>
                <w:bCs/>
                <w:sz w:val="22"/>
                <w:szCs w:val="22"/>
              </w:rPr>
            </w:pPr>
            <w:r>
              <w:rPr>
                <w:b/>
                <w:bCs/>
                <w:sz w:val="22"/>
                <w:szCs w:val="22"/>
              </w:rPr>
              <w:t>Ticker</w:t>
            </w:r>
          </w:p>
        </w:tc>
      </w:tr>
      <w:tr w:rsidR="00675A3C" w14:paraId="5001CC5B" w14:textId="77777777" w:rsidTr="00733E93">
        <w:tc>
          <w:tcPr>
            <w:tcW w:w="5215" w:type="dxa"/>
          </w:tcPr>
          <w:p w14:paraId="6598CBA4" w14:textId="2C21143A" w:rsidR="00675A3C" w:rsidRDefault="00B220C7" w:rsidP="00733E93">
            <w:pPr>
              <w:autoSpaceDE w:val="0"/>
              <w:autoSpaceDN w:val="0"/>
              <w:adjustRightInd w:val="0"/>
              <w:rPr>
                <w:sz w:val="22"/>
                <w:szCs w:val="22"/>
              </w:rPr>
            </w:pPr>
            <w:r>
              <w:rPr>
                <w:sz w:val="22"/>
                <w:szCs w:val="22"/>
              </w:rPr>
              <w:t>NestYield Visionary ETF</w:t>
            </w:r>
          </w:p>
        </w:tc>
        <w:tc>
          <w:tcPr>
            <w:tcW w:w="2790" w:type="dxa"/>
          </w:tcPr>
          <w:p w14:paraId="31C94E5C" w14:textId="4675FDBD" w:rsidR="00675A3C" w:rsidRDefault="00DB6066" w:rsidP="00733E93">
            <w:pPr>
              <w:autoSpaceDE w:val="0"/>
              <w:autoSpaceDN w:val="0"/>
              <w:adjustRightInd w:val="0"/>
              <w:jc w:val="center"/>
              <w:rPr>
                <w:sz w:val="22"/>
                <w:szCs w:val="22"/>
              </w:rPr>
            </w:pPr>
            <w:r>
              <w:rPr>
                <w:bCs/>
                <w:sz w:val="22"/>
                <w:szCs w:val="22"/>
              </w:rPr>
              <w:t>45259A696</w:t>
            </w:r>
          </w:p>
        </w:tc>
        <w:tc>
          <w:tcPr>
            <w:tcW w:w="720" w:type="dxa"/>
          </w:tcPr>
          <w:p w14:paraId="12CFFBF6" w14:textId="75527615" w:rsidR="00675A3C" w:rsidRPr="002F41E5" w:rsidRDefault="00DB6066" w:rsidP="00733E93">
            <w:pPr>
              <w:autoSpaceDE w:val="0"/>
              <w:autoSpaceDN w:val="0"/>
              <w:adjustRightInd w:val="0"/>
              <w:jc w:val="center"/>
              <w:rPr>
                <w:bCs/>
                <w:sz w:val="22"/>
                <w:szCs w:val="22"/>
              </w:rPr>
            </w:pPr>
            <w:r>
              <w:rPr>
                <w:bCs/>
                <w:sz w:val="22"/>
                <w:szCs w:val="22"/>
              </w:rPr>
              <w:t>EGGQ</w:t>
            </w:r>
          </w:p>
        </w:tc>
      </w:tr>
    </w:tbl>
    <w:p w14:paraId="1967A9C9" w14:textId="77777777" w:rsidR="00675A3C" w:rsidRDefault="00675A3C" w:rsidP="001132BA">
      <w:pPr>
        <w:autoSpaceDE w:val="0"/>
        <w:autoSpaceDN w:val="0"/>
        <w:adjustRightInd w:val="0"/>
        <w:jc w:val="both"/>
        <w:rPr>
          <w:b/>
          <w:bCs/>
          <w:sz w:val="22"/>
          <w:szCs w:val="22"/>
        </w:rPr>
      </w:pPr>
    </w:p>
    <w:tbl>
      <w:tblPr>
        <w:tblW w:w="9371" w:type="dxa"/>
        <w:tblLayout w:type="fixed"/>
        <w:tblLook w:val="01E0" w:firstRow="1" w:lastRow="1" w:firstColumn="1" w:lastColumn="1" w:noHBand="0" w:noVBand="0"/>
      </w:tblPr>
      <w:tblGrid>
        <w:gridCol w:w="4431"/>
        <w:gridCol w:w="2470"/>
        <w:gridCol w:w="2470"/>
      </w:tblGrid>
      <w:tr w:rsidR="00675A3C" w14:paraId="51519E2F" w14:textId="77777777" w:rsidTr="00733E93">
        <w:trPr>
          <w:trHeight w:val="504"/>
        </w:trPr>
        <w:tc>
          <w:tcPr>
            <w:tcW w:w="4431" w:type="dxa"/>
          </w:tcPr>
          <w:p w14:paraId="3F3E416A" w14:textId="77777777" w:rsidR="00675A3C" w:rsidRDefault="00675A3C" w:rsidP="00733E93">
            <w:pPr>
              <w:autoSpaceDE w:val="0"/>
              <w:autoSpaceDN w:val="0"/>
              <w:adjustRightInd w:val="0"/>
              <w:rPr>
                <w:b/>
                <w:bCs/>
                <w:sz w:val="20"/>
                <w:szCs w:val="20"/>
              </w:rPr>
            </w:pPr>
          </w:p>
        </w:tc>
        <w:tc>
          <w:tcPr>
            <w:tcW w:w="2470" w:type="dxa"/>
          </w:tcPr>
          <w:p w14:paraId="526064E3" w14:textId="77777777" w:rsidR="00675A3C" w:rsidRDefault="00675A3C" w:rsidP="00733E93">
            <w:pPr>
              <w:autoSpaceDE w:val="0"/>
              <w:autoSpaceDN w:val="0"/>
              <w:adjustRightInd w:val="0"/>
              <w:jc w:val="center"/>
              <w:rPr>
                <w:b/>
                <w:bCs/>
                <w:sz w:val="20"/>
                <w:szCs w:val="20"/>
              </w:rPr>
            </w:pPr>
            <w:r>
              <w:rPr>
                <w:b/>
                <w:bCs/>
                <w:sz w:val="20"/>
                <w:szCs w:val="20"/>
              </w:rPr>
              <w:t>Current</w:t>
            </w:r>
          </w:p>
          <w:p w14:paraId="570B2916" w14:textId="77777777" w:rsidR="00675A3C" w:rsidRDefault="00675A3C" w:rsidP="00733E93">
            <w:pPr>
              <w:autoSpaceDE w:val="0"/>
              <w:autoSpaceDN w:val="0"/>
              <w:adjustRightInd w:val="0"/>
              <w:jc w:val="center"/>
              <w:rPr>
                <w:b/>
                <w:bCs/>
                <w:sz w:val="20"/>
                <w:szCs w:val="20"/>
              </w:rPr>
            </w:pPr>
            <w:r>
              <w:rPr>
                <w:b/>
                <w:bCs/>
                <w:sz w:val="20"/>
                <w:szCs w:val="20"/>
              </w:rPr>
              <w:t>Distribution</w:t>
            </w:r>
          </w:p>
        </w:tc>
        <w:tc>
          <w:tcPr>
            <w:tcW w:w="2470" w:type="dxa"/>
          </w:tcPr>
          <w:p w14:paraId="62341BEA" w14:textId="77777777" w:rsidR="00675A3C" w:rsidRDefault="00675A3C" w:rsidP="00733E93">
            <w:pPr>
              <w:autoSpaceDE w:val="0"/>
              <w:autoSpaceDN w:val="0"/>
              <w:adjustRightInd w:val="0"/>
              <w:jc w:val="center"/>
              <w:rPr>
                <w:b/>
                <w:bCs/>
                <w:sz w:val="20"/>
                <w:szCs w:val="20"/>
              </w:rPr>
            </w:pPr>
            <w:r>
              <w:rPr>
                <w:b/>
                <w:bCs/>
                <w:sz w:val="20"/>
                <w:szCs w:val="20"/>
              </w:rPr>
              <w:t>% of Current</w:t>
            </w:r>
          </w:p>
          <w:p w14:paraId="041FC192" w14:textId="77777777" w:rsidR="00675A3C" w:rsidRDefault="00675A3C" w:rsidP="00733E93">
            <w:pPr>
              <w:autoSpaceDE w:val="0"/>
              <w:autoSpaceDN w:val="0"/>
              <w:adjustRightInd w:val="0"/>
              <w:jc w:val="center"/>
              <w:rPr>
                <w:b/>
                <w:bCs/>
                <w:sz w:val="20"/>
                <w:szCs w:val="20"/>
              </w:rPr>
            </w:pPr>
            <w:r>
              <w:rPr>
                <w:b/>
                <w:bCs/>
                <w:sz w:val="20"/>
                <w:szCs w:val="20"/>
              </w:rPr>
              <w:t>Distribution</w:t>
            </w:r>
          </w:p>
        </w:tc>
      </w:tr>
      <w:tr w:rsidR="00675A3C" w:rsidRPr="00177279" w14:paraId="06D94A44" w14:textId="77777777" w:rsidTr="00733E93">
        <w:trPr>
          <w:trHeight w:val="252"/>
        </w:trPr>
        <w:tc>
          <w:tcPr>
            <w:tcW w:w="4431" w:type="dxa"/>
          </w:tcPr>
          <w:p w14:paraId="432E47FE" w14:textId="77777777" w:rsidR="00675A3C" w:rsidRPr="00177279" w:rsidRDefault="00675A3C" w:rsidP="00733E93">
            <w:pPr>
              <w:autoSpaceDE w:val="0"/>
              <w:autoSpaceDN w:val="0"/>
              <w:adjustRightInd w:val="0"/>
              <w:rPr>
                <w:b/>
                <w:bCs/>
                <w:sz w:val="20"/>
                <w:szCs w:val="20"/>
              </w:rPr>
            </w:pPr>
            <w:r w:rsidRPr="00177279">
              <w:rPr>
                <w:sz w:val="20"/>
                <w:szCs w:val="20"/>
              </w:rPr>
              <w:t>Estimated Net Investment Income</w:t>
            </w:r>
          </w:p>
        </w:tc>
        <w:tc>
          <w:tcPr>
            <w:tcW w:w="2470" w:type="dxa"/>
            <w:vAlign w:val="center"/>
          </w:tcPr>
          <w:p w14:paraId="618CA9B9" w14:textId="1665F9E4" w:rsidR="00675A3C" w:rsidRPr="00B20CC3" w:rsidRDefault="00675A3C" w:rsidP="00733E93">
            <w:pPr>
              <w:autoSpaceDE w:val="0"/>
              <w:autoSpaceDN w:val="0"/>
              <w:adjustRightInd w:val="0"/>
              <w:jc w:val="center"/>
              <w:rPr>
                <w:bCs/>
                <w:sz w:val="20"/>
                <w:szCs w:val="20"/>
              </w:rPr>
            </w:pPr>
            <w:r w:rsidRPr="00177279">
              <w:rPr>
                <w:bCs/>
                <w:sz w:val="20"/>
                <w:szCs w:val="20"/>
              </w:rPr>
              <w:t>$</w:t>
            </w:r>
            <w:r>
              <w:rPr>
                <w:bCs/>
                <w:sz w:val="20"/>
                <w:szCs w:val="20"/>
              </w:rPr>
              <w:t>0.</w:t>
            </w:r>
            <w:r w:rsidR="001C754F">
              <w:rPr>
                <w:bCs/>
                <w:sz w:val="20"/>
                <w:szCs w:val="20"/>
              </w:rPr>
              <w:t>00000</w:t>
            </w:r>
          </w:p>
        </w:tc>
        <w:tc>
          <w:tcPr>
            <w:tcW w:w="2470" w:type="dxa"/>
            <w:vAlign w:val="center"/>
          </w:tcPr>
          <w:p w14:paraId="6C57FEDD" w14:textId="5AC6704E" w:rsidR="00675A3C" w:rsidRPr="00B20CC3" w:rsidRDefault="008618EB" w:rsidP="00733E93">
            <w:pPr>
              <w:autoSpaceDE w:val="0"/>
              <w:autoSpaceDN w:val="0"/>
              <w:adjustRightInd w:val="0"/>
              <w:jc w:val="center"/>
              <w:rPr>
                <w:bCs/>
                <w:sz w:val="20"/>
                <w:szCs w:val="20"/>
              </w:rPr>
            </w:pPr>
            <w:r>
              <w:rPr>
                <w:bCs/>
                <w:sz w:val="20"/>
                <w:szCs w:val="20"/>
              </w:rPr>
              <w:t xml:space="preserve">    </w:t>
            </w:r>
            <w:r w:rsidR="004D3307">
              <w:rPr>
                <w:bCs/>
                <w:sz w:val="20"/>
                <w:szCs w:val="20"/>
              </w:rPr>
              <w:t>0.00</w:t>
            </w:r>
            <w:r w:rsidR="00675A3C" w:rsidRPr="00C70259">
              <w:rPr>
                <w:bCs/>
                <w:sz w:val="20"/>
                <w:szCs w:val="20"/>
              </w:rPr>
              <w:t>%</w:t>
            </w:r>
          </w:p>
        </w:tc>
      </w:tr>
      <w:tr w:rsidR="00675A3C" w:rsidRPr="00177279" w14:paraId="28C380CE" w14:textId="77777777" w:rsidTr="00733E93">
        <w:trPr>
          <w:trHeight w:val="124"/>
        </w:trPr>
        <w:tc>
          <w:tcPr>
            <w:tcW w:w="4431" w:type="dxa"/>
          </w:tcPr>
          <w:p w14:paraId="5902CE6B" w14:textId="77777777" w:rsidR="00675A3C" w:rsidRPr="00177279" w:rsidRDefault="00675A3C" w:rsidP="00733E93">
            <w:pPr>
              <w:autoSpaceDE w:val="0"/>
              <w:autoSpaceDN w:val="0"/>
              <w:adjustRightInd w:val="0"/>
              <w:rPr>
                <w:b/>
                <w:bCs/>
                <w:sz w:val="20"/>
                <w:szCs w:val="20"/>
              </w:rPr>
            </w:pPr>
            <w:r w:rsidRPr="00177279">
              <w:rPr>
                <w:sz w:val="20"/>
                <w:szCs w:val="20"/>
              </w:rPr>
              <w:t>Estimated Return of Capital</w:t>
            </w:r>
          </w:p>
        </w:tc>
        <w:tc>
          <w:tcPr>
            <w:tcW w:w="2470" w:type="dxa"/>
            <w:vAlign w:val="center"/>
          </w:tcPr>
          <w:p w14:paraId="5BB5D628" w14:textId="1D15D745" w:rsidR="00675A3C" w:rsidRPr="00A175EE" w:rsidRDefault="00675A3C" w:rsidP="00733E93">
            <w:pPr>
              <w:autoSpaceDE w:val="0"/>
              <w:autoSpaceDN w:val="0"/>
              <w:adjustRightInd w:val="0"/>
              <w:jc w:val="center"/>
              <w:rPr>
                <w:bCs/>
                <w:sz w:val="20"/>
                <w:szCs w:val="20"/>
                <w:u w:val="single"/>
              </w:rPr>
            </w:pPr>
            <w:r w:rsidRPr="00A01D6C">
              <w:rPr>
                <w:bCs/>
                <w:sz w:val="20"/>
                <w:szCs w:val="20"/>
                <w:u w:val="single"/>
              </w:rPr>
              <w:t>$0</w:t>
            </w:r>
            <w:r w:rsidR="00D55FE3">
              <w:rPr>
                <w:bCs/>
                <w:sz w:val="20"/>
                <w:szCs w:val="20"/>
                <w:u w:val="single"/>
              </w:rPr>
              <w:t>.</w:t>
            </w:r>
            <w:r w:rsidR="00066238">
              <w:rPr>
                <w:bCs/>
                <w:sz w:val="20"/>
                <w:szCs w:val="20"/>
                <w:u w:val="single"/>
              </w:rPr>
              <w:t>26000</w:t>
            </w:r>
          </w:p>
        </w:tc>
        <w:tc>
          <w:tcPr>
            <w:tcW w:w="2470" w:type="dxa"/>
            <w:vAlign w:val="center"/>
          </w:tcPr>
          <w:p w14:paraId="69E59CF6" w14:textId="4D144371" w:rsidR="00675A3C" w:rsidRPr="00A175EE" w:rsidRDefault="008618EB" w:rsidP="00733E93">
            <w:pPr>
              <w:autoSpaceDE w:val="0"/>
              <w:autoSpaceDN w:val="0"/>
              <w:adjustRightInd w:val="0"/>
              <w:jc w:val="center"/>
              <w:rPr>
                <w:bCs/>
                <w:sz w:val="20"/>
                <w:szCs w:val="20"/>
                <w:u w:val="single"/>
              </w:rPr>
            </w:pPr>
            <w:r>
              <w:rPr>
                <w:bCs/>
                <w:sz w:val="20"/>
                <w:szCs w:val="20"/>
                <w:u w:val="single"/>
              </w:rPr>
              <w:t xml:space="preserve"> 10</w:t>
            </w:r>
            <w:r w:rsidR="004D3307">
              <w:rPr>
                <w:bCs/>
                <w:sz w:val="20"/>
                <w:szCs w:val="20"/>
                <w:u w:val="single"/>
              </w:rPr>
              <w:t>0.00</w:t>
            </w:r>
            <w:r w:rsidR="00675A3C" w:rsidRPr="006E599E">
              <w:rPr>
                <w:bCs/>
                <w:sz w:val="20"/>
                <w:szCs w:val="20"/>
                <w:u w:val="single"/>
              </w:rPr>
              <w:t>%</w:t>
            </w:r>
          </w:p>
        </w:tc>
      </w:tr>
      <w:tr w:rsidR="00675A3C" w:rsidRPr="00177279" w14:paraId="380EEEB9" w14:textId="77777777" w:rsidTr="00733E93">
        <w:trPr>
          <w:trHeight w:val="124"/>
        </w:trPr>
        <w:tc>
          <w:tcPr>
            <w:tcW w:w="4431" w:type="dxa"/>
          </w:tcPr>
          <w:p w14:paraId="6F3126D7" w14:textId="77777777" w:rsidR="00675A3C" w:rsidRPr="00177279" w:rsidRDefault="00675A3C" w:rsidP="00733E93">
            <w:pPr>
              <w:autoSpaceDE w:val="0"/>
              <w:autoSpaceDN w:val="0"/>
              <w:adjustRightInd w:val="0"/>
              <w:rPr>
                <w:b/>
                <w:bCs/>
                <w:sz w:val="20"/>
                <w:szCs w:val="20"/>
              </w:rPr>
            </w:pPr>
            <w:r w:rsidRPr="00177279">
              <w:rPr>
                <w:sz w:val="20"/>
                <w:szCs w:val="20"/>
              </w:rPr>
              <w:t>Total (per common share)</w:t>
            </w:r>
          </w:p>
        </w:tc>
        <w:tc>
          <w:tcPr>
            <w:tcW w:w="2470" w:type="dxa"/>
            <w:vAlign w:val="center"/>
          </w:tcPr>
          <w:p w14:paraId="4BABF54C" w14:textId="61AA5A34" w:rsidR="00675A3C" w:rsidRPr="00B20CC3" w:rsidRDefault="00675A3C" w:rsidP="00733E93">
            <w:pPr>
              <w:autoSpaceDE w:val="0"/>
              <w:autoSpaceDN w:val="0"/>
              <w:adjustRightInd w:val="0"/>
              <w:jc w:val="center"/>
              <w:rPr>
                <w:bCs/>
                <w:sz w:val="20"/>
                <w:szCs w:val="20"/>
              </w:rPr>
            </w:pPr>
            <w:r w:rsidRPr="00A17E3F">
              <w:rPr>
                <w:bCs/>
                <w:sz w:val="20"/>
                <w:szCs w:val="20"/>
              </w:rPr>
              <w:t>$0.</w:t>
            </w:r>
            <w:r w:rsidR="006A7808">
              <w:rPr>
                <w:bCs/>
                <w:sz w:val="20"/>
                <w:szCs w:val="20"/>
              </w:rPr>
              <w:t>2</w:t>
            </w:r>
            <w:r w:rsidR="00066238">
              <w:rPr>
                <w:bCs/>
                <w:sz w:val="20"/>
                <w:szCs w:val="20"/>
              </w:rPr>
              <w:t>6000</w:t>
            </w:r>
          </w:p>
        </w:tc>
        <w:tc>
          <w:tcPr>
            <w:tcW w:w="2470" w:type="dxa"/>
            <w:vAlign w:val="center"/>
          </w:tcPr>
          <w:p w14:paraId="1EEE53BB" w14:textId="1D6C31FD" w:rsidR="00675A3C" w:rsidRPr="00B20CC3" w:rsidRDefault="008618EB" w:rsidP="00733E93">
            <w:pPr>
              <w:autoSpaceDE w:val="0"/>
              <w:autoSpaceDN w:val="0"/>
              <w:adjustRightInd w:val="0"/>
              <w:jc w:val="center"/>
              <w:rPr>
                <w:bCs/>
                <w:sz w:val="20"/>
                <w:szCs w:val="20"/>
              </w:rPr>
            </w:pPr>
            <w:r>
              <w:rPr>
                <w:bCs/>
                <w:sz w:val="20"/>
                <w:szCs w:val="20"/>
              </w:rPr>
              <w:t xml:space="preserve"> </w:t>
            </w:r>
            <w:r w:rsidR="00675A3C" w:rsidRPr="00B20CC3">
              <w:rPr>
                <w:bCs/>
                <w:sz w:val="20"/>
                <w:szCs w:val="20"/>
              </w:rPr>
              <w:t>100.00%</w:t>
            </w:r>
          </w:p>
        </w:tc>
      </w:tr>
    </w:tbl>
    <w:p w14:paraId="77D19B43" w14:textId="77777777" w:rsidR="00675A3C" w:rsidRDefault="00675A3C" w:rsidP="001132BA">
      <w:pPr>
        <w:autoSpaceDE w:val="0"/>
        <w:autoSpaceDN w:val="0"/>
        <w:adjustRightInd w:val="0"/>
        <w:jc w:val="both"/>
        <w:rPr>
          <w:b/>
          <w:bCs/>
          <w:sz w:val="22"/>
          <w:szCs w:val="22"/>
        </w:rPr>
      </w:pPr>
    </w:p>
    <w:p w14:paraId="6E8BCFF4" w14:textId="77777777" w:rsidR="00D36799" w:rsidRDefault="00D36799" w:rsidP="001132BA">
      <w:pPr>
        <w:autoSpaceDE w:val="0"/>
        <w:autoSpaceDN w:val="0"/>
        <w:adjustRightInd w:val="0"/>
        <w:jc w:val="both"/>
        <w:rPr>
          <w:b/>
          <w:bCs/>
          <w:sz w:val="22"/>
          <w:szCs w:val="22"/>
        </w:rPr>
      </w:pPr>
    </w:p>
    <w:p w14:paraId="463E90E1" w14:textId="177634B8" w:rsidR="001132BA" w:rsidRPr="001132BA" w:rsidRDefault="002709E5" w:rsidP="001132BA">
      <w:pPr>
        <w:autoSpaceDE w:val="0"/>
        <w:autoSpaceDN w:val="0"/>
        <w:adjustRightInd w:val="0"/>
        <w:jc w:val="both"/>
        <w:rPr>
          <w:b/>
          <w:bCs/>
          <w:sz w:val="22"/>
          <w:szCs w:val="22"/>
        </w:rPr>
      </w:pPr>
      <w:r>
        <w:rPr>
          <w:b/>
          <w:bCs/>
          <w:sz w:val="22"/>
          <w:szCs w:val="22"/>
        </w:rPr>
        <w:t xml:space="preserve">No action is required on your part. </w:t>
      </w:r>
      <w:r w:rsidR="001132BA" w:rsidRPr="002709E5">
        <w:rPr>
          <w:sz w:val="22"/>
          <w:szCs w:val="22"/>
        </w:rPr>
        <w:t xml:space="preserve">The amounts and sources of distributions reported in this notice are estimates, are not being provided for tax reporting purposes and may later be determined to be from taxable net investment income, short-term gains, long-term gains (to the extent permitted by law) and return of capital. The actual amounts and sources for tax reporting purposes will depend upon the Fund’s investment experience during the remainder of the fiscal year and may be subject to changes based on tax regulations. The Fund will send you a Form 1099-DIV for the calendar year that will tell you how to report these distributions for federal income tax purposes. </w:t>
      </w:r>
    </w:p>
    <w:p w14:paraId="44A8D5AE" w14:textId="77777777" w:rsidR="001132BA" w:rsidRDefault="001132BA" w:rsidP="001132BA">
      <w:pPr>
        <w:rPr>
          <w:b/>
          <w:bCs/>
          <w:sz w:val="22"/>
          <w:szCs w:val="22"/>
        </w:rPr>
      </w:pPr>
    </w:p>
    <w:p w14:paraId="17D6CB45" w14:textId="2B89B8DD" w:rsidR="00AF4957" w:rsidRPr="00C543EB" w:rsidRDefault="00C7394F" w:rsidP="00C543EB">
      <w:pPr>
        <w:rPr>
          <w:b/>
          <w:bCs/>
          <w:sz w:val="22"/>
          <w:szCs w:val="22"/>
        </w:rPr>
      </w:pPr>
      <w:r w:rsidRPr="00C7394F">
        <w:rPr>
          <w:b/>
          <w:bCs/>
          <w:sz w:val="22"/>
          <w:szCs w:val="22"/>
        </w:rPr>
        <w:t xml:space="preserve">If you have questions or need additional information, please contact your financial </w:t>
      </w:r>
      <w:r w:rsidR="007A2CD3">
        <w:rPr>
          <w:b/>
          <w:bCs/>
          <w:sz w:val="22"/>
          <w:szCs w:val="22"/>
        </w:rPr>
        <w:t>p</w:t>
      </w:r>
      <w:r w:rsidRPr="00C7394F">
        <w:rPr>
          <w:b/>
          <w:bCs/>
          <w:sz w:val="22"/>
          <w:szCs w:val="22"/>
        </w:rPr>
        <w:t xml:space="preserve">rofessional or call the </w:t>
      </w:r>
      <w:r w:rsidR="00675A3C">
        <w:rPr>
          <w:b/>
          <w:bCs/>
          <w:sz w:val="22"/>
          <w:szCs w:val="22"/>
        </w:rPr>
        <w:t>NestYield</w:t>
      </w:r>
      <w:r w:rsidRPr="00C7394F">
        <w:rPr>
          <w:b/>
          <w:bCs/>
          <w:sz w:val="22"/>
          <w:szCs w:val="22"/>
        </w:rPr>
        <w:t xml:space="preserve"> ETFs Information Line at </w:t>
      </w:r>
      <w:r w:rsidR="00D36799">
        <w:rPr>
          <w:b/>
          <w:bCs/>
          <w:sz w:val="22"/>
          <w:szCs w:val="22"/>
        </w:rPr>
        <w:t>855-879-5979</w:t>
      </w:r>
      <w:r w:rsidRPr="00C7394F">
        <w:rPr>
          <w:b/>
          <w:bCs/>
          <w:sz w:val="22"/>
          <w:szCs w:val="22"/>
        </w:rPr>
        <w:t>.</w:t>
      </w:r>
    </w:p>
    <w:sectPr w:rsidR="00AF4957" w:rsidRPr="00C543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2CA4" w14:textId="77777777" w:rsidR="00CE04D1" w:rsidRDefault="00CE04D1">
      <w:r>
        <w:separator/>
      </w:r>
    </w:p>
  </w:endnote>
  <w:endnote w:type="continuationSeparator" w:id="0">
    <w:p w14:paraId="3C9AACA9" w14:textId="77777777" w:rsidR="00CE04D1" w:rsidRDefault="00CE04D1">
      <w:r>
        <w:continuationSeparator/>
      </w:r>
    </w:p>
  </w:endnote>
  <w:endnote w:type="continuationNotice" w:id="1">
    <w:p w14:paraId="3ECFA04B" w14:textId="77777777" w:rsidR="00CE04D1" w:rsidRDefault="00CE0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2D95" w14:textId="77777777" w:rsidR="00CE04D1" w:rsidRDefault="00CE04D1">
      <w:r>
        <w:separator/>
      </w:r>
    </w:p>
  </w:footnote>
  <w:footnote w:type="continuationSeparator" w:id="0">
    <w:p w14:paraId="54D6611E" w14:textId="77777777" w:rsidR="00CE04D1" w:rsidRDefault="00CE04D1">
      <w:r>
        <w:continuationSeparator/>
      </w:r>
    </w:p>
  </w:footnote>
  <w:footnote w:type="continuationNotice" w:id="1">
    <w:p w14:paraId="444187A9" w14:textId="77777777" w:rsidR="00CE04D1" w:rsidRDefault="00CE04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 w:val="False"/>
  </w:docVars>
  <w:rsids>
    <w:rsidRoot w:val="00912276"/>
    <w:rsid w:val="00002058"/>
    <w:rsid w:val="0000239D"/>
    <w:rsid w:val="00004DC6"/>
    <w:rsid w:val="0001028A"/>
    <w:rsid w:val="00010FEF"/>
    <w:rsid w:val="000117A7"/>
    <w:rsid w:val="000122DE"/>
    <w:rsid w:val="000137F5"/>
    <w:rsid w:val="00013999"/>
    <w:rsid w:val="00015C0A"/>
    <w:rsid w:val="00017710"/>
    <w:rsid w:val="00021279"/>
    <w:rsid w:val="00025EFB"/>
    <w:rsid w:val="000413BA"/>
    <w:rsid w:val="0004219B"/>
    <w:rsid w:val="00045568"/>
    <w:rsid w:val="00050EA7"/>
    <w:rsid w:val="00053A52"/>
    <w:rsid w:val="000543FF"/>
    <w:rsid w:val="000574F7"/>
    <w:rsid w:val="00062539"/>
    <w:rsid w:val="00062800"/>
    <w:rsid w:val="000628DE"/>
    <w:rsid w:val="00063046"/>
    <w:rsid w:val="00065DF0"/>
    <w:rsid w:val="00066238"/>
    <w:rsid w:val="00071DF3"/>
    <w:rsid w:val="000756BD"/>
    <w:rsid w:val="00090314"/>
    <w:rsid w:val="00094CF1"/>
    <w:rsid w:val="00095942"/>
    <w:rsid w:val="00095FAD"/>
    <w:rsid w:val="00097050"/>
    <w:rsid w:val="000A4153"/>
    <w:rsid w:val="000A5FF6"/>
    <w:rsid w:val="000A60B1"/>
    <w:rsid w:val="000A6C9B"/>
    <w:rsid w:val="000B2EE5"/>
    <w:rsid w:val="000C2030"/>
    <w:rsid w:val="000C2B94"/>
    <w:rsid w:val="000C2ED7"/>
    <w:rsid w:val="000C3C4C"/>
    <w:rsid w:val="000D19D2"/>
    <w:rsid w:val="000D1D7C"/>
    <w:rsid w:val="000D46C3"/>
    <w:rsid w:val="000D4C53"/>
    <w:rsid w:val="000E3743"/>
    <w:rsid w:val="000E486F"/>
    <w:rsid w:val="000E6AE1"/>
    <w:rsid w:val="000F1064"/>
    <w:rsid w:val="000F336F"/>
    <w:rsid w:val="000F3D9D"/>
    <w:rsid w:val="000F55FD"/>
    <w:rsid w:val="0010209C"/>
    <w:rsid w:val="00112A33"/>
    <w:rsid w:val="001132BA"/>
    <w:rsid w:val="0011397F"/>
    <w:rsid w:val="00115255"/>
    <w:rsid w:val="001243E7"/>
    <w:rsid w:val="00130395"/>
    <w:rsid w:val="001349F7"/>
    <w:rsid w:val="00137B60"/>
    <w:rsid w:val="001506F9"/>
    <w:rsid w:val="001508C8"/>
    <w:rsid w:val="001552CC"/>
    <w:rsid w:val="00155A1F"/>
    <w:rsid w:val="00170844"/>
    <w:rsid w:val="00172350"/>
    <w:rsid w:val="00173F70"/>
    <w:rsid w:val="00176E21"/>
    <w:rsid w:val="00177279"/>
    <w:rsid w:val="001779A5"/>
    <w:rsid w:val="00184FA1"/>
    <w:rsid w:val="00187CC2"/>
    <w:rsid w:val="00191B79"/>
    <w:rsid w:val="00196FF0"/>
    <w:rsid w:val="00197D97"/>
    <w:rsid w:val="001A0C0B"/>
    <w:rsid w:val="001A4E27"/>
    <w:rsid w:val="001B0D6A"/>
    <w:rsid w:val="001B1FAD"/>
    <w:rsid w:val="001C522E"/>
    <w:rsid w:val="001C754F"/>
    <w:rsid w:val="001C7A95"/>
    <w:rsid w:val="001D16A4"/>
    <w:rsid w:val="001E0E62"/>
    <w:rsid w:val="001E18BA"/>
    <w:rsid w:val="001E193E"/>
    <w:rsid w:val="001E3D3D"/>
    <w:rsid w:val="001E40CC"/>
    <w:rsid w:val="001E644F"/>
    <w:rsid w:val="001F4C1E"/>
    <w:rsid w:val="001F5147"/>
    <w:rsid w:val="001F5DBA"/>
    <w:rsid w:val="001F6520"/>
    <w:rsid w:val="0020127E"/>
    <w:rsid w:val="002032BA"/>
    <w:rsid w:val="00211843"/>
    <w:rsid w:val="0021692B"/>
    <w:rsid w:val="00217101"/>
    <w:rsid w:val="00220459"/>
    <w:rsid w:val="002231B7"/>
    <w:rsid w:val="002237AD"/>
    <w:rsid w:val="002262F9"/>
    <w:rsid w:val="002301A3"/>
    <w:rsid w:val="00233B32"/>
    <w:rsid w:val="002341C6"/>
    <w:rsid w:val="002344FE"/>
    <w:rsid w:val="0023626E"/>
    <w:rsid w:val="00254377"/>
    <w:rsid w:val="0025517D"/>
    <w:rsid w:val="002555AF"/>
    <w:rsid w:val="0026127B"/>
    <w:rsid w:val="00263481"/>
    <w:rsid w:val="00265041"/>
    <w:rsid w:val="00267B0D"/>
    <w:rsid w:val="002709E5"/>
    <w:rsid w:val="00270BE0"/>
    <w:rsid w:val="00284152"/>
    <w:rsid w:val="00284DC5"/>
    <w:rsid w:val="00286480"/>
    <w:rsid w:val="002922C0"/>
    <w:rsid w:val="00292AD1"/>
    <w:rsid w:val="002949E3"/>
    <w:rsid w:val="00297472"/>
    <w:rsid w:val="002977CB"/>
    <w:rsid w:val="002A722A"/>
    <w:rsid w:val="002B21EE"/>
    <w:rsid w:val="002B4B68"/>
    <w:rsid w:val="002B5FF4"/>
    <w:rsid w:val="002B6EA4"/>
    <w:rsid w:val="002B79D7"/>
    <w:rsid w:val="002C0815"/>
    <w:rsid w:val="002C58B7"/>
    <w:rsid w:val="002C7EEB"/>
    <w:rsid w:val="002E6302"/>
    <w:rsid w:val="002F2A76"/>
    <w:rsid w:val="002F41E5"/>
    <w:rsid w:val="002F5744"/>
    <w:rsid w:val="002F6675"/>
    <w:rsid w:val="002F7472"/>
    <w:rsid w:val="00304936"/>
    <w:rsid w:val="003101E4"/>
    <w:rsid w:val="00311277"/>
    <w:rsid w:val="00324CA0"/>
    <w:rsid w:val="00326CFD"/>
    <w:rsid w:val="00327455"/>
    <w:rsid w:val="00330638"/>
    <w:rsid w:val="00331C5E"/>
    <w:rsid w:val="00332F4C"/>
    <w:rsid w:val="00334749"/>
    <w:rsid w:val="00336078"/>
    <w:rsid w:val="00337532"/>
    <w:rsid w:val="003410BF"/>
    <w:rsid w:val="00344304"/>
    <w:rsid w:val="00357538"/>
    <w:rsid w:val="003661E1"/>
    <w:rsid w:val="0036749E"/>
    <w:rsid w:val="00367F3C"/>
    <w:rsid w:val="0037192F"/>
    <w:rsid w:val="00373C13"/>
    <w:rsid w:val="00383691"/>
    <w:rsid w:val="003848B2"/>
    <w:rsid w:val="00386CEA"/>
    <w:rsid w:val="00390501"/>
    <w:rsid w:val="003928F9"/>
    <w:rsid w:val="00395C6C"/>
    <w:rsid w:val="003A1B80"/>
    <w:rsid w:val="003A3A43"/>
    <w:rsid w:val="003A3F5B"/>
    <w:rsid w:val="003B040F"/>
    <w:rsid w:val="003B0E3E"/>
    <w:rsid w:val="003B3B3E"/>
    <w:rsid w:val="003B5BD2"/>
    <w:rsid w:val="003B7D06"/>
    <w:rsid w:val="003C0AE2"/>
    <w:rsid w:val="003C6CB4"/>
    <w:rsid w:val="003C7EF6"/>
    <w:rsid w:val="003D3731"/>
    <w:rsid w:val="003D3CB8"/>
    <w:rsid w:val="003D5251"/>
    <w:rsid w:val="003D7B7C"/>
    <w:rsid w:val="003E1834"/>
    <w:rsid w:val="003E3057"/>
    <w:rsid w:val="003E52FD"/>
    <w:rsid w:val="003E762A"/>
    <w:rsid w:val="003F098F"/>
    <w:rsid w:val="003F1F75"/>
    <w:rsid w:val="003F7DDE"/>
    <w:rsid w:val="00402B9B"/>
    <w:rsid w:val="00403842"/>
    <w:rsid w:val="00404293"/>
    <w:rsid w:val="00405C03"/>
    <w:rsid w:val="00412498"/>
    <w:rsid w:val="00412FFE"/>
    <w:rsid w:val="00415DEB"/>
    <w:rsid w:val="0042035C"/>
    <w:rsid w:val="00424876"/>
    <w:rsid w:val="00425920"/>
    <w:rsid w:val="0042655D"/>
    <w:rsid w:val="00426C4E"/>
    <w:rsid w:val="00430500"/>
    <w:rsid w:val="0043158D"/>
    <w:rsid w:val="004316AB"/>
    <w:rsid w:val="0043630C"/>
    <w:rsid w:val="00436F0C"/>
    <w:rsid w:val="00443B2B"/>
    <w:rsid w:val="0044627A"/>
    <w:rsid w:val="004464D0"/>
    <w:rsid w:val="00452613"/>
    <w:rsid w:val="00455B87"/>
    <w:rsid w:val="004605B5"/>
    <w:rsid w:val="004710CD"/>
    <w:rsid w:val="00475718"/>
    <w:rsid w:val="00480C90"/>
    <w:rsid w:val="00493EDC"/>
    <w:rsid w:val="004964C1"/>
    <w:rsid w:val="00497DFB"/>
    <w:rsid w:val="004B3AB9"/>
    <w:rsid w:val="004B6223"/>
    <w:rsid w:val="004B75E9"/>
    <w:rsid w:val="004B7A61"/>
    <w:rsid w:val="004C0BFD"/>
    <w:rsid w:val="004C3C81"/>
    <w:rsid w:val="004C7540"/>
    <w:rsid w:val="004D2732"/>
    <w:rsid w:val="004D3307"/>
    <w:rsid w:val="004D501B"/>
    <w:rsid w:val="004E45E4"/>
    <w:rsid w:val="004E4F89"/>
    <w:rsid w:val="004E7B8F"/>
    <w:rsid w:val="004F019E"/>
    <w:rsid w:val="004F2A5F"/>
    <w:rsid w:val="004F352F"/>
    <w:rsid w:val="004F416E"/>
    <w:rsid w:val="004F53C2"/>
    <w:rsid w:val="005004AF"/>
    <w:rsid w:val="00504564"/>
    <w:rsid w:val="00506B68"/>
    <w:rsid w:val="00506DF6"/>
    <w:rsid w:val="00511354"/>
    <w:rsid w:val="00515913"/>
    <w:rsid w:val="00517C61"/>
    <w:rsid w:val="00521571"/>
    <w:rsid w:val="005309E7"/>
    <w:rsid w:val="005321A2"/>
    <w:rsid w:val="00532311"/>
    <w:rsid w:val="00540173"/>
    <w:rsid w:val="00541E5E"/>
    <w:rsid w:val="005477E1"/>
    <w:rsid w:val="00551FB6"/>
    <w:rsid w:val="00554F3A"/>
    <w:rsid w:val="00554FED"/>
    <w:rsid w:val="00561FC6"/>
    <w:rsid w:val="005633CB"/>
    <w:rsid w:val="00570735"/>
    <w:rsid w:val="00574BF4"/>
    <w:rsid w:val="00575AF1"/>
    <w:rsid w:val="00576189"/>
    <w:rsid w:val="0057722F"/>
    <w:rsid w:val="00582A3F"/>
    <w:rsid w:val="00584B83"/>
    <w:rsid w:val="00585D36"/>
    <w:rsid w:val="00586179"/>
    <w:rsid w:val="00590E31"/>
    <w:rsid w:val="00592B62"/>
    <w:rsid w:val="00593772"/>
    <w:rsid w:val="00594D50"/>
    <w:rsid w:val="005A29DB"/>
    <w:rsid w:val="005B1D6A"/>
    <w:rsid w:val="005B306C"/>
    <w:rsid w:val="005B3A15"/>
    <w:rsid w:val="005B6E01"/>
    <w:rsid w:val="005B7173"/>
    <w:rsid w:val="005B7CF5"/>
    <w:rsid w:val="005C1C3E"/>
    <w:rsid w:val="005D6A82"/>
    <w:rsid w:val="005D7FC8"/>
    <w:rsid w:val="005E0258"/>
    <w:rsid w:val="005E0519"/>
    <w:rsid w:val="005E0EAD"/>
    <w:rsid w:val="005E154B"/>
    <w:rsid w:val="005E74FA"/>
    <w:rsid w:val="005E76BC"/>
    <w:rsid w:val="005F55FD"/>
    <w:rsid w:val="006004F2"/>
    <w:rsid w:val="00611791"/>
    <w:rsid w:val="00612413"/>
    <w:rsid w:val="00614A04"/>
    <w:rsid w:val="00614B60"/>
    <w:rsid w:val="006162B1"/>
    <w:rsid w:val="00622274"/>
    <w:rsid w:val="00625DC5"/>
    <w:rsid w:val="00630380"/>
    <w:rsid w:val="00632467"/>
    <w:rsid w:val="00634762"/>
    <w:rsid w:val="00637260"/>
    <w:rsid w:val="0063795D"/>
    <w:rsid w:val="00640623"/>
    <w:rsid w:val="006432AC"/>
    <w:rsid w:val="006440B5"/>
    <w:rsid w:val="0064510B"/>
    <w:rsid w:val="00646CBB"/>
    <w:rsid w:val="00646EA7"/>
    <w:rsid w:val="00651843"/>
    <w:rsid w:val="00652556"/>
    <w:rsid w:val="00654754"/>
    <w:rsid w:val="006572E6"/>
    <w:rsid w:val="0066091D"/>
    <w:rsid w:val="00661812"/>
    <w:rsid w:val="0066306B"/>
    <w:rsid w:val="00663DD0"/>
    <w:rsid w:val="006654F5"/>
    <w:rsid w:val="00672BD9"/>
    <w:rsid w:val="0067424A"/>
    <w:rsid w:val="00675A3C"/>
    <w:rsid w:val="006842EF"/>
    <w:rsid w:val="00687525"/>
    <w:rsid w:val="00687B69"/>
    <w:rsid w:val="00687C70"/>
    <w:rsid w:val="00691F50"/>
    <w:rsid w:val="00692C6E"/>
    <w:rsid w:val="00692F3F"/>
    <w:rsid w:val="00694CF7"/>
    <w:rsid w:val="00696BBE"/>
    <w:rsid w:val="00696FFF"/>
    <w:rsid w:val="006A0A75"/>
    <w:rsid w:val="006A1CCF"/>
    <w:rsid w:val="006A360C"/>
    <w:rsid w:val="006A4091"/>
    <w:rsid w:val="006A7808"/>
    <w:rsid w:val="006A78F1"/>
    <w:rsid w:val="006A7966"/>
    <w:rsid w:val="006B4B12"/>
    <w:rsid w:val="006B66E7"/>
    <w:rsid w:val="006B7F25"/>
    <w:rsid w:val="006C55B3"/>
    <w:rsid w:val="006C7E87"/>
    <w:rsid w:val="006D14B3"/>
    <w:rsid w:val="006D5F43"/>
    <w:rsid w:val="006E599E"/>
    <w:rsid w:val="006F1EFB"/>
    <w:rsid w:val="006F1F96"/>
    <w:rsid w:val="006F7A09"/>
    <w:rsid w:val="00700801"/>
    <w:rsid w:val="00701138"/>
    <w:rsid w:val="00701AF0"/>
    <w:rsid w:val="00704FAE"/>
    <w:rsid w:val="0070542F"/>
    <w:rsid w:val="007145F5"/>
    <w:rsid w:val="00714856"/>
    <w:rsid w:val="00715EC2"/>
    <w:rsid w:val="00716001"/>
    <w:rsid w:val="0071734B"/>
    <w:rsid w:val="007225E3"/>
    <w:rsid w:val="00730940"/>
    <w:rsid w:val="00731B12"/>
    <w:rsid w:val="00731FFA"/>
    <w:rsid w:val="00733E3A"/>
    <w:rsid w:val="00735712"/>
    <w:rsid w:val="00737F48"/>
    <w:rsid w:val="007433B2"/>
    <w:rsid w:val="00761417"/>
    <w:rsid w:val="0076270F"/>
    <w:rsid w:val="00773593"/>
    <w:rsid w:val="007903D6"/>
    <w:rsid w:val="007915DA"/>
    <w:rsid w:val="00794C10"/>
    <w:rsid w:val="00795575"/>
    <w:rsid w:val="00797ADF"/>
    <w:rsid w:val="007A2CD3"/>
    <w:rsid w:val="007A2D51"/>
    <w:rsid w:val="007A5248"/>
    <w:rsid w:val="007B175E"/>
    <w:rsid w:val="007B311D"/>
    <w:rsid w:val="007B3DB5"/>
    <w:rsid w:val="007B5B59"/>
    <w:rsid w:val="007C3BE2"/>
    <w:rsid w:val="007C63CA"/>
    <w:rsid w:val="007C6BBA"/>
    <w:rsid w:val="007D657C"/>
    <w:rsid w:val="007D7208"/>
    <w:rsid w:val="007E2E83"/>
    <w:rsid w:val="007F09C0"/>
    <w:rsid w:val="007F2488"/>
    <w:rsid w:val="007F5891"/>
    <w:rsid w:val="007F669B"/>
    <w:rsid w:val="00802BFE"/>
    <w:rsid w:val="00803C1F"/>
    <w:rsid w:val="0081397A"/>
    <w:rsid w:val="0081425F"/>
    <w:rsid w:val="0082120F"/>
    <w:rsid w:val="008229AC"/>
    <w:rsid w:val="008231B2"/>
    <w:rsid w:val="00823ADD"/>
    <w:rsid w:val="0082769A"/>
    <w:rsid w:val="00832657"/>
    <w:rsid w:val="00832DAF"/>
    <w:rsid w:val="008342B7"/>
    <w:rsid w:val="00834938"/>
    <w:rsid w:val="00840985"/>
    <w:rsid w:val="00842C80"/>
    <w:rsid w:val="00844B4A"/>
    <w:rsid w:val="0085029E"/>
    <w:rsid w:val="0085212B"/>
    <w:rsid w:val="00852D1C"/>
    <w:rsid w:val="008547C3"/>
    <w:rsid w:val="008607DF"/>
    <w:rsid w:val="008618EB"/>
    <w:rsid w:val="00862501"/>
    <w:rsid w:val="00864496"/>
    <w:rsid w:val="0086462C"/>
    <w:rsid w:val="00864C56"/>
    <w:rsid w:val="008675F2"/>
    <w:rsid w:val="00872807"/>
    <w:rsid w:val="00872FD6"/>
    <w:rsid w:val="00882B04"/>
    <w:rsid w:val="008904E8"/>
    <w:rsid w:val="00890B7D"/>
    <w:rsid w:val="00891540"/>
    <w:rsid w:val="008926A3"/>
    <w:rsid w:val="00895475"/>
    <w:rsid w:val="008A3763"/>
    <w:rsid w:val="008A4959"/>
    <w:rsid w:val="008B134D"/>
    <w:rsid w:val="008B4008"/>
    <w:rsid w:val="008C54C8"/>
    <w:rsid w:val="008D1F51"/>
    <w:rsid w:val="008D2FD6"/>
    <w:rsid w:val="008D3EA5"/>
    <w:rsid w:val="008D53E3"/>
    <w:rsid w:val="008E0177"/>
    <w:rsid w:val="008E1602"/>
    <w:rsid w:val="008E5208"/>
    <w:rsid w:val="008E5FE4"/>
    <w:rsid w:val="008F61B8"/>
    <w:rsid w:val="008F7149"/>
    <w:rsid w:val="00901338"/>
    <w:rsid w:val="00903EF3"/>
    <w:rsid w:val="00907AD8"/>
    <w:rsid w:val="009105B3"/>
    <w:rsid w:val="009108B6"/>
    <w:rsid w:val="00910FD8"/>
    <w:rsid w:val="00912276"/>
    <w:rsid w:val="00914240"/>
    <w:rsid w:val="00915611"/>
    <w:rsid w:val="00921AC7"/>
    <w:rsid w:val="00921E2D"/>
    <w:rsid w:val="00923B98"/>
    <w:rsid w:val="0092705D"/>
    <w:rsid w:val="00936F36"/>
    <w:rsid w:val="0094094C"/>
    <w:rsid w:val="00940BFF"/>
    <w:rsid w:val="00941D0E"/>
    <w:rsid w:val="009448F2"/>
    <w:rsid w:val="00946C9C"/>
    <w:rsid w:val="00947404"/>
    <w:rsid w:val="00950064"/>
    <w:rsid w:val="009518A5"/>
    <w:rsid w:val="00952234"/>
    <w:rsid w:val="009544B8"/>
    <w:rsid w:val="009551E8"/>
    <w:rsid w:val="00962015"/>
    <w:rsid w:val="0096235F"/>
    <w:rsid w:val="009657E9"/>
    <w:rsid w:val="009779F2"/>
    <w:rsid w:val="00981738"/>
    <w:rsid w:val="009855B4"/>
    <w:rsid w:val="00986452"/>
    <w:rsid w:val="00987734"/>
    <w:rsid w:val="0099019A"/>
    <w:rsid w:val="009A04BF"/>
    <w:rsid w:val="009A32A5"/>
    <w:rsid w:val="009A4183"/>
    <w:rsid w:val="009A6C88"/>
    <w:rsid w:val="009A7031"/>
    <w:rsid w:val="009B160C"/>
    <w:rsid w:val="009B6B74"/>
    <w:rsid w:val="009C3FFE"/>
    <w:rsid w:val="009C5821"/>
    <w:rsid w:val="009D2E12"/>
    <w:rsid w:val="009D30A9"/>
    <w:rsid w:val="009D436F"/>
    <w:rsid w:val="009D633C"/>
    <w:rsid w:val="009E3AE0"/>
    <w:rsid w:val="009E3F4E"/>
    <w:rsid w:val="009E4252"/>
    <w:rsid w:val="009E450F"/>
    <w:rsid w:val="009F7690"/>
    <w:rsid w:val="00A01D6C"/>
    <w:rsid w:val="00A1326F"/>
    <w:rsid w:val="00A169FD"/>
    <w:rsid w:val="00A16DE7"/>
    <w:rsid w:val="00A175EE"/>
    <w:rsid w:val="00A17E3F"/>
    <w:rsid w:val="00A20C05"/>
    <w:rsid w:val="00A20F37"/>
    <w:rsid w:val="00A230B4"/>
    <w:rsid w:val="00A271FA"/>
    <w:rsid w:val="00A309A1"/>
    <w:rsid w:val="00A31F50"/>
    <w:rsid w:val="00A35940"/>
    <w:rsid w:val="00A46BF5"/>
    <w:rsid w:val="00A51DCC"/>
    <w:rsid w:val="00A55C34"/>
    <w:rsid w:val="00A60798"/>
    <w:rsid w:val="00A743C4"/>
    <w:rsid w:val="00A77D1A"/>
    <w:rsid w:val="00A81B04"/>
    <w:rsid w:val="00A832B9"/>
    <w:rsid w:val="00A9027A"/>
    <w:rsid w:val="00A9561A"/>
    <w:rsid w:val="00A968D7"/>
    <w:rsid w:val="00AA1207"/>
    <w:rsid w:val="00AA200A"/>
    <w:rsid w:val="00AA3567"/>
    <w:rsid w:val="00AA6A14"/>
    <w:rsid w:val="00AB0CAD"/>
    <w:rsid w:val="00AB26C2"/>
    <w:rsid w:val="00AB7E26"/>
    <w:rsid w:val="00AC27AD"/>
    <w:rsid w:val="00AC4B8F"/>
    <w:rsid w:val="00AD1395"/>
    <w:rsid w:val="00AD316B"/>
    <w:rsid w:val="00AD53D4"/>
    <w:rsid w:val="00AD62DF"/>
    <w:rsid w:val="00AE088F"/>
    <w:rsid w:val="00AE38A7"/>
    <w:rsid w:val="00AF4957"/>
    <w:rsid w:val="00AF6171"/>
    <w:rsid w:val="00B00353"/>
    <w:rsid w:val="00B0219C"/>
    <w:rsid w:val="00B0435E"/>
    <w:rsid w:val="00B07AC2"/>
    <w:rsid w:val="00B1178B"/>
    <w:rsid w:val="00B1326C"/>
    <w:rsid w:val="00B20CC3"/>
    <w:rsid w:val="00B220C7"/>
    <w:rsid w:val="00B2263A"/>
    <w:rsid w:val="00B2538E"/>
    <w:rsid w:val="00B31685"/>
    <w:rsid w:val="00B32EB8"/>
    <w:rsid w:val="00B33446"/>
    <w:rsid w:val="00B36F5F"/>
    <w:rsid w:val="00B418E5"/>
    <w:rsid w:val="00B42D30"/>
    <w:rsid w:val="00B445EC"/>
    <w:rsid w:val="00B47463"/>
    <w:rsid w:val="00B520C5"/>
    <w:rsid w:val="00B52EB8"/>
    <w:rsid w:val="00B54A79"/>
    <w:rsid w:val="00B54B98"/>
    <w:rsid w:val="00B61B7C"/>
    <w:rsid w:val="00B645D9"/>
    <w:rsid w:val="00B778A2"/>
    <w:rsid w:val="00B7790D"/>
    <w:rsid w:val="00B824AF"/>
    <w:rsid w:val="00B843EA"/>
    <w:rsid w:val="00B84709"/>
    <w:rsid w:val="00B90BE4"/>
    <w:rsid w:val="00B91794"/>
    <w:rsid w:val="00BA0B68"/>
    <w:rsid w:val="00BA5084"/>
    <w:rsid w:val="00BA660E"/>
    <w:rsid w:val="00BB4619"/>
    <w:rsid w:val="00BB5F18"/>
    <w:rsid w:val="00BB6357"/>
    <w:rsid w:val="00BD11F0"/>
    <w:rsid w:val="00BD51B2"/>
    <w:rsid w:val="00BD628C"/>
    <w:rsid w:val="00BE27AC"/>
    <w:rsid w:val="00BE28D0"/>
    <w:rsid w:val="00BE4EEB"/>
    <w:rsid w:val="00BF320F"/>
    <w:rsid w:val="00BF47EA"/>
    <w:rsid w:val="00BF734F"/>
    <w:rsid w:val="00BF78E1"/>
    <w:rsid w:val="00BF7B1A"/>
    <w:rsid w:val="00C03A54"/>
    <w:rsid w:val="00C101F5"/>
    <w:rsid w:val="00C16179"/>
    <w:rsid w:val="00C2055E"/>
    <w:rsid w:val="00C23A73"/>
    <w:rsid w:val="00C26C15"/>
    <w:rsid w:val="00C31408"/>
    <w:rsid w:val="00C35C6D"/>
    <w:rsid w:val="00C440A8"/>
    <w:rsid w:val="00C53A37"/>
    <w:rsid w:val="00C543EB"/>
    <w:rsid w:val="00C5500B"/>
    <w:rsid w:val="00C64511"/>
    <w:rsid w:val="00C65176"/>
    <w:rsid w:val="00C70259"/>
    <w:rsid w:val="00C708DA"/>
    <w:rsid w:val="00C72EE2"/>
    <w:rsid w:val="00C7394F"/>
    <w:rsid w:val="00C769AE"/>
    <w:rsid w:val="00C76A8E"/>
    <w:rsid w:val="00C80726"/>
    <w:rsid w:val="00C80ACB"/>
    <w:rsid w:val="00C82459"/>
    <w:rsid w:val="00C9065C"/>
    <w:rsid w:val="00C91647"/>
    <w:rsid w:val="00C94973"/>
    <w:rsid w:val="00CA5D01"/>
    <w:rsid w:val="00CA6A87"/>
    <w:rsid w:val="00CB6C8B"/>
    <w:rsid w:val="00CB6CEA"/>
    <w:rsid w:val="00CB79C1"/>
    <w:rsid w:val="00CC1475"/>
    <w:rsid w:val="00CC782E"/>
    <w:rsid w:val="00CC78FC"/>
    <w:rsid w:val="00CD023F"/>
    <w:rsid w:val="00CD086A"/>
    <w:rsid w:val="00CD1932"/>
    <w:rsid w:val="00CD3C60"/>
    <w:rsid w:val="00CD4026"/>
    <w:rsid w:val="00CD543E"/>
    <w:rsid w:val="00CE04D1"/>
    <w:rsid w:val="00CE5B91"/>
    <w:rsid w:val="00CE6B34"/>
    <w:rsid w:val="00CF4652"/>
    <w:rsid w:val="00CF4E73"/>
    <w:rsid w:val="00D040C4"/>
    <w:rsid w:val="00D25F49"/>
    <w:rsid w:val="00D34692"/>
    <w:rsid w:val="00D34FCC"/>
    <w:rsid w:val="00D35C05"/>
    <w:rsid w:val="00D36799"/>
    <w:rsid w:val="00D36865"/>
    <w:rsid w:val="00D462CA"/>
    <w:rsid w:val="00D474E5"/>
    <w:rsid w:val="00D47839"/>
    <w:rsid w:val="00D54578"/>
    <w:rsid w:val="00D55FE3"/>
    <w:rsid w:val="00D56A9A"/>
    <w:rsid w:val="00D5750C"/>
    <w:rsid w:val="00D60021"/>
    <w:rsid w:val="00D662BB"/>
    <w:rsid w:val="00D6644F"/>
    <w:rsid w:val="00D67046"/>
    <w:rsid w:val="00D71933"/>
    <w:rsid w:val="00D7486A"/>
    <w:rsid w:val="00D76D05"/>
    <w:rsid w:val="00D80E18"/>
    <w:rsid w:val="00D83CF9"/>
    <w:rsid w:val="00D8496E"/>
    <w:rsid w:val="00D907C4"/>
    <w:rsid w:val="00D9218B"/>
    <w:rsid w:val="00D947E9"/>
    <w:rsid w:val="00D96702"/>
    <w:rsid w:val="00DA24C8"/>
    <w:rsid w:val="00DA2EF1"/>
    <w:rsid w:val="00DA3D7F"/>
    <w:rsid w:val="00DA40B3"/>
    <w:rsid w:val="00DB6066"/>
    <w:rsid w:val="00DC6CED"/>
    <w:rsid w:val="00DC6D84"/>
    <w:rsid w:val="00DC7FA5"/>
    <w:rsid w:val="00DD112A"/>
    <w:rsid w:val="00DE33B4"/>
    <w:rsid w:val="00DE44FF"/>
    <w:rsid w:val="00DE5871"/>
    <w:rsid w:val="00DE5B73"/>
    <w:rsid w:val="00DE679E"/>
    <w:rsid w:val="00DE730E"/>
    <w:rsid w:val="00DE7A4A"/>
    <w:rsid w:val="00DF4351"/>
    <w:rsid w:val="00DF6C49"/>
    <w:rsid w:val="00E00D64"/>
    <w:rsid w:val="00E010A0"/>
    <w:rsid w:val="00E0561E"/>
    <w:rsid w:val="00E250DB"/>
    <w:rsid w:val="00E30403"/>
    <w:rsid w:val="00E308C2"/>
    <w:rsid w:val="00E31CD7"/>
    <w:rsid w:val="00E31D27"/>
    <w:rsid w:val="00E352F3"/>
    <w:rsid w:val="00E37E2F"/>
    <w:rsid w:val="00E41AEF"/>
    <w:rsid w:val="00E5184F"/>
    <w:rsid w:val="00E52814"/>
    <w:rsid w:val="00E530CB"/>
    <w:rsid w:val="00E62427"/>
    <w:rsid w:val="00E640D0"/>
    <w:rsid w:val="00E64D05"/>
    <w:rsid w:val="00E65A6C"/>
    <w:rsid w:val="00E700AB"/>
    <w:rsid w:val="00E70E37"/>
    <w:rsid w:val="00E72C44"/>
    <w:rsid w:val="00E7445D"/>
    <w:rsid w:val="00E760A0"/>
    <w:rsid w:val="00E76A4B"/>
    <w:rsid w:val="00E77525"/>
    <w:rsid w:val="00E77F90"/>
    <w:rsid w:val="00E80279"/>
    <w:rsid w:val="00E82E03"/>
    <w:rsid w:val="00E91B30"/>
    <w:rsid w:val="00E93A8A"/>
    <w:rsid w:val="00EA416E"/>
    <w:rsid w:val="00EA604B"/>
    <w:rsid w:val="00EB0777"/>
    <w:rsid w:val="00EB1EBD"/>
    <w:rsid w:val="00EB2D47"/>
    <w:rsid w:val="00EB5778"/>
    <w:rsid w:val="00EC3746"/>
    <w:rsid w:val="00EC3E7F"/>
    <w:rsid w:val="00EC6578"/>
    <w:rsid w:val="00EC7BB5"/>
    <w:rsid w:val="00ED2981"/>
    <w:rsid w:val="00ED3A59"/>
    <w:rsid w:val="00ED4218"/>
    <w:rsid w:val="00ED4EF6"/>
    <w:rsid w:val="00EF0E9A"/>
    <w:rsid w:val="00EF1423"/>
    <w:rsid w:val="00EF53A4"/>
    <w:rsid w:val="00F0549B"/>
    <w:rsid w:val="00F146B9"/>
    <w:rsid w:val="00F205BC"/>
    <w:rsid w:val="00F24170"/>
    <w:rsid w:val="00F27132"/>
    <w:rsid w:val="00F317E2"/>
    <w:rsid w:val="00F33A22"/>
    <w:rsid w:val="00F47191"/>
    <w:rsid w:val="00F47699"/>
    <w:rsid w:val="00F51FED"/>
    <w:rsid w:val="00F52684"/>
    <w:rsid w:val="00F54F2C"/>
    <w:rsid w:val="00F553CF"/>
    <w:rsid w:val="00F56249"/>
    <w:rsid w:val="00F574B5"/>
    <w:rsid w:val="00F625FC"/>
    <w:rsid w:val="00F63A69"/>
    <w:rsid w:val="00F72EB0"/>
    <w:rsid w:val="00F76A32"/>
    <w:rsid w:val="00F86493"/>
    <w:rsid w:val="00F9063F"/>
    <w:rsid w:val="00F90806"/>
    <w:rsid w:val="00F9149F"/>
    <w:rsid w:val="00F9555E"/>
    <w:rsid w:val="00F97418"/>
    <w:rsid w:val="00F97B8E"/>
    <w:rsid w:val="00FA070D"/>
    <w:rsid w:val="00FA4D92"/>
    <w:rsid w:val="00FB4A97"/>
    <w:rsid w:val="00FB4ED4"/>
    <w:rsid w:val="00FB6A61"/>
    <w:rsid w:val="00FC0612"/>
    <w:rsid w:val="00FC59AF"/>
    <w:rsid w:val="00FC5EC0"/>
    <w:rsid w:val="00FC6B63"/>
    <w:rsid w:val="00FD0B67"/>
    <w:rsid w:val="00FD216D"/>
    <w:rsid w:val="00FD4A56"/>
    <w:rsid w:val="00FD5810"/>
    <w:rsid w:val="00FD6818"/>
    <w:rsid w:val="00FE0013"/>
    <w:rsid w:val="00FE6CEC"/>
    <w:rsid w:val="00FF147B"/>
    <w:rsid w:val="00FF5D40"/>
    <w:rsid w:val="00FF7069"/>
    <w:rsid w:val="00FF799F"/>
    <w:rsid w:val="00FF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1BD35"/>
  <w15:docId w15:val="{28472BB5-C511-4809-9B4C-1A6A434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sid w:val="0001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7FE97F4B7F2419318C8992EEF49FE" ma:contentTypeVersion="18" ma:contentTypeDescription="Create a new document." ma:contentTypeScope="" ma:versionID="5387eee913d003f6503fce4ccf2eae0f">
  <xsd:schema xmlns:xsd="http://www.w3.org/2001/XMLSchema" xmlns:xs="http://www.w3.org/2001/XMLSchema" xmlns:p="http://schemas.microsoft.com/office/2006/metadata/properties" xmlns:ns2="3cf5cc47-b3a9-4eb9-929f-9d173dcbd4f4" xmlns:ns3="01e42997-4164-4001-9ef5-229df3311178" targetNamespace="http://schemas.microsoft.com/office/2006/metadata/properties" ma:root="true" ma:fieldsID="154619690d0a3b8df69b7091e0621394" ns2:_="" ns3:_="">
    <xsd:import namespace="3cf5cc47-b3a9-4eb9-929f-9d173dcbd4f4"/>
    <xsd:import namespace="01e42997-4164-4001-9ef5-229df33111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5cc47-b3a9-4eb9-929f-9d173dcbd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1d7b9f-4f01-466a-b22b-a2a7f83b3f0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42997-4164-4001-9ef5-229df33111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2ef092-cd88-4923-8379-9110f2d84b5f}" ma:internalName="TaxCatchAll" ma:showField="CatchAllData" ma:web="01e42997-4164-4001-9ef5-229df3311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f5cc47-b3a9-4eb9-929f-9d173dcbd4f4">
      <Terms xmlns="http://schemas.microsoft.com/office/infopath/2007/PartnerControls"/>
    </lcf76f155ced4ddcb4097134ff3c332f>
    <TaxCatchAll xmlns="01e42997-4164-4001-9ef5-229df3311178" xsi:nil="true"/>
  </documentManagement>
</p:properties>
</file>

<file path=customXml/itemProps1.xml><?xml version="1.0" encoding="utf-8"?>
<ds:datastoreItem xmlns:ds="http://schemas.openxmlformats.org/officeDocument/2006/customXml" ds:itemID="{381FFFCC-A9DC-42E5-8B9F-1C0944ECA56B}">
  <ds:schemaRefs>
    <ds:schemaRef ds:uri="http://schemas.microsoft.com/sharepoint/v3/contenttype/forms"/>
  </ds:schemaRefs>
</ds:datastoreItem>
</file>

<file path=customXml/itemProps2.xml><?xml version="1.0" encoding="utf-8"?>
<ds:datastoreItem xmlns:ds="http://schemas.openxmlformats.org/officeDocument/2006/customXml" ds:itemID="{687A415E-EF82-4EBE-AC1E-F0553EA27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5cc47-b3a9-4eb9-929f-9d173dcbd4f4"/>
    <ds:schemaRef ds:uri="01e42997-4164-4001-9ef5-229df3311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5D1A0-23DF-481E-9BA8-DBC64D851145}">
  <ds:schemaRefs>
    <ds:schemaRef ds:uri="http://schemas.microsoft.com/office/2006/metadata/properties"/>
    <ds:schemaRef ds:uri="http://schemas.microsoft.com/office/infopath/2007/PartnerControls"/>
    <ds:schemaRef ds:uri="3cf5cc47-b3a9-4eb9-929f-9d173dcbd4f4"/>
    <ds:schemaRef ds:uri="01e42997-4164-4001-9ef5-229df3311178"/>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323</Words>
  <Characters>1788</Characters>
  <Application>Microsoft Office Word</Application>
  <DocSecurity>0</DocSecurity>
  <Lines>94</Lines>
  <Paragraphs>75</Paragraphs>
  <ScaleCrop>false</ScaleCrop>
  <HeadingPairs>
    <vt:vector size="2" baseType="variant">
      <vt:variant>
        <vt:lpstr>Title</vt:lpstr>
      </vt:variant>
      <vt:variant>
        <vt:i4>1</vt:i4>
      </vt:variant>
    </vt:vector>
  </HeadingPairs>
  <TitlesOfParts>
    <vt:vector size="1" baseType="lpstr">
      <vt:lpstr>Important information regarding your distributions</vt:lpstr>
    </vt:vector>
  </TitlesOfParts>
  <Company>US BANK</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regarding your distributions</dc:title>
  <dc:subject/>
  <dc:creator>kmlomas</dc:creator>
  <cp:keywords/>
  <cp:lastModifiedBy>Kyle Buscemi</cp:lastModifiedBy>
  <cp:revision>218</cp:revision>
  <cp:lastPrinted>2012-12-27T20:49:00Z</cp:lastPrinted>
  <dcterms:created xsi:type="dcterms:W3CDTF">2024-10-28T18:22:00Z</dcterms:created>
  <dcterms:modified xsi:type="dcterms:W3CDTF">2026-01-28T22:10:00Z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2021-09-29T01:11:59Z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2448c26b-a366-4d08-9863-3856e25444e9</vt:lpwstr>
  </property>
  <property fmtid="{D5CDD505-2E9C-101B-9397-08002B2CF9AE}" pid="8" name="MSIP_Label_320df1db-9955-4087-a541-42c2f5a9332e_ContentBits">
    <vt:lpwstr>0</vt:lpwstr>
  </property>
  <property fmtid="{D5CDD505-2E9C-101B-9397-08002B2CF9AE}" pid="9" name="MSIP_Label_6d43cf97-98f5-41f6-96d9-b3de720db551_Enabled">
    <vt:lpwstr>true</vt:lpwstr>
  </property>
  <property fmtid="{D5CDD505-2E9C-101B-9397-08002B2CF9AE}" pid="10" name="MSIP_Label_6d43cf97-98f5-41f6-96d9-b3de720db551_SetDate">
    <vt:lpwstr>2023-10-31T04:15:03Z</vt:lpwstr>
  </property>
  <property fmtid="{D5CDD505-2E9C-101B-9397-08002B2CF9AE}" pid="11" name="MSIP_Label_6d43cf97-98f5-41f6-96d9-b3de720db551_Method">
    <vt:lpwstr>Standard</vt:lpwstr>
  </property>
  <property fmtid="{D5CDD505-2E9C-101B-9397-08002B2CF9AE}" pid="12" name="MSIP_Label_6d43cf97-98f5-41f6-96d9-b3de720db551_Name">
    <vt:lpwstr>Sensitive Data</vt:lpwstr>
  </property>
  <property fmtid="{D5CDD505-2E9C-101B-9397-08002B2CF9AE}" pid="13" name="MSIP_Label_6d43cf97-98f5-41f6-96d9-b3de720db551_SiteId">
    <vt:lpwstr>7777a101-786c-4b14-b517-16df9e1606b8</vt:lpwstr>
  </property>
  <property fmtid="{D5CDD505-2E9C-101B-9397-08002B2CF9AE}" pid="14" name="MSIP_Label_6d43cf97-98f5-41f6-96d9-b3de720db551_ActionId">
    <vt:lpwstr>36b27f8f-7d5e-4a5a-9664-e4c65b4bc4ea</vt:lpwstr>
  </property>
  <property fmtid="{D5CDD505-2E9C-101B-9397-08002B2CF9AE}" pid="15" name="MSIP_Label_6d43cf97-98f5-41f6-96d9-b3de720db551_ContentBits">
    <vt:lpwstr>0</vt:lpwstr>
  </property>
  <property fmtid="{D5CDD505-2E9C-101B-9397-08002B2CF9AE}" pid="16" name="ContentTypeId">
    <vt:lpwstr>0x0101002B07FE97F4B7F2419318C8992EEF49FE</vt:lpwstr>
  </property>
  <property fmtid="{D5CDD505-2E9C-101B-9397-08002B2CF9AE}" pid="17" name="MediaServiceImageTags">
    <vt:lpwstr/>
  </property>
</Properties>
</file>